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79A" w:rsidRPr="00082830" w:rsidRDefault="007B53B8" w:rsidP="007B53B8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082830">
        <w:rPr>
          <w:rFonts w:ascii="Times New Roman" w:hAnsi="Times New Roman" w:cs="Times New Roman"/>
          <w:b/>
          <w:sz w:val="28"/>
          <w:lang w:val="uk-UA"/>
        </w:rPr>
        <w:t>Лекція 11</w:t>
      </w:r>
    </w:p>
    <w:p w:rsidR="00C4007A" w:rsidRPr="00082830" w:rsidRDefault="00C4007A" w:rsidP="00C4007A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Кореляційна</w:t>
      </w:r>
      <w:proofErr w:type="spellEnd"/>
      <w:r w:rsidRPr="00082830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функція</w:t>
      </w:r>
      <w:proofErr w:type="spellEnd"/>
      <w:r w:rsidRPr="00082830">
        <w:rPr>
          <w:rFonts w:ascii="Times New Roman" w:hAnsi="Times New Roman" w:cs="Times New Roman"/>
          <w:b/>
          <w:bCs/>
          <w:sz w:val="28"/>
          <w:lang w:val="ru-RU"/>
        </w:rPr>
        <w:t xml:space="preserve"> поля, </w:t>
      </w: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розсіювана</w:t>
      </w:r>
      <w:proofErr w:type="spellEnd"/>
      <w:r w:rsidRPr="00082830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однорідним</w:t>
      </w:r>
      <w:proofErr w:type="spellEnd"/>
      <w:r w:rsidRPr="00082830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випадковим</w:t>
      </w:r>
      <w:proofErr w:type="spellEnd"/>
      <w:r w:rsidRPr="00082830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82830">
        <w:rPr>
          <w:rFonts w:ascii="Times New Roman" w:hAnsi="Times New Roman" w:cs="Times New Roman"/>
          <w:b/>
          <w:bCs/>
          <w:sz w:val="28"/>
          <w:lang w:val="ru-RU"/>
        </w:rPr>
        <w:t>екраном</w:t>
      </w:r>
      <w:proofErr w:type="spellEnd"/>
    </w:p>
    <w:p w:rsidR="00082830" w:rsidRPr="00082830" w:rsidRDefault="00082830" w:rsidP="00082830">
      <w:pPr>
        <w:jc w:val="both"/>
        <w:rPr>
          <w:rFonts w:ascii="Times New Roman" w:hAnsi="Times New Roman" w:cs="Times New Roman"/>
          <w:sz w:val="28"/>
          <w:lang w:val="uk-UA"/>
        </w:rPr>
      </w:pPr>
      <w:r w:rsidRPr="00082830">
        <w:rPr>
          <w:rFonts w:ascii="Times New Roman" w:hAnsi="Times New Roman" w:cs="Times New Roman"/>
          <w:sz w:val="28"/>
          <w:lang w:val="uk-UA"/>
        </w:rPr>
        <w:tab/>
        <w:t xml:space="preserve">Нехай в площині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=0</m:t>
        </m:r>
        <m:r>
          <w:rPr>
            <w:rFonts w:ascii="Cambria Math" w:hAnsi="Cambria Math" w:cs="Times New Roman"/>
            <w:sz w:val="28"/>
          </w:rPr>
          <m:t> </m:t>
        </m:r>
      </m:oMath>
      <w:r w:rsidRPr="00082830">
        <w:rPr>
          <w:rFonts w:ascii="Times New Roman" w:hAnsi="Times New Roman" w:cs="Times New Roman"/>
          <w:sz w:val="28"/>
          <w:lang w:val="uk-UA"/>
        </w:rPr>
        <w:t xml:space="preserve">є випадкове поле, що має однорідну функцію кореляції. Таке поле отримується у випадку, якщо плоска хвиля проходить (або відбивається) від екрану з </w:t>
      </w:r>
      <w:proofErr w:type="spellStart"/>
      <w:r w:rsidRPr="00082830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082830">
        <w:rPr>
          <w:rFonts w:ascii="Times New Roman" w:hAnsi="Times New Roman" w:cs="Times New Roman"/>
          <w:sz w:val="28"/>
          <w:lang w:val="uk-UA"/>
        </w:rPr>
        <w:t xml:space="preserve"> показника заломлення або поглинання, рівномірно та </w:t>
      </w:r>
      <w:proofErr w:type="spellStart"/>
      <w:r w:rsidRPr="00082830">
        <w:rPr>
          <w:rFonts w:ascii="Times New Roman" w:hAnsi="Times New Roman" w:cs="Times New Roman"/>
          <w:sz w:val="28"/>
          <w:lang w:val="uk-UA"/>
        </w:rPr>
        <w:t>однорідно</w:t>
      </w:r>
      <w:proofErr w:type="spellEnd"/>
      <w:r w:rsidRPr="00082830">
        <w:rPr>
          <w:rFonts w:ascii="Times New Roman" w:hAnsi="Times New Roman" w:cs="Times New Roman"/>
          <w:sz w:val="28"/>
          <w:lang w:val="uk-UA"/>
        </w:rPr>
        <w:t xml:space="preserve"> розподіленим по всій площині екрану, так що функція </w:t>
      </w:r>
      <w:proofErr w:type="spellStart"/>
      <w:r w:rsidRPr="00082830">
        <w:rPr>
          <w:rFonts w:ascii="Times New Roman" w:hAnsi="Times New Roman" w:cs="Times New Roman"/>
          <w:sz w:val="28"/>
          <w:lang w:val="uk-UA"/>
        </w:rPr>
        <w:t>кореляціії</w:t>
      </w:r>
      <w:proofErr w:type="spellEnd"/>
      <w:r w:rsidRPr="00082830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82830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082830">
        <w:rPr>
          <w:rFonts w:ascii="Times New Roman" w:hAnsi="Times New Roman" w:cs="Times New Roman"/>
          <w:sz w:val="28"/>
          <w:lang w:val="uk-UA"/>
        </w:rPr>
        <w:t xml:space="preserve"> однорідна по координатах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uk-UA"/>
          </w:rPr>
          <m:t>,</m:t>
        </m:r>
        <m:r>
          <w:rPr>
            <w:rFonts w:ascii="Cambria Math" w:hAnsi="Cambria Math" w:cs="Times New Roman"/>
            <w:sz w:val="28"/>
          </w:rPr>
          <m:t>y</m:t>
        </m:r>
      </m:oMath>
      <w:r w:rsidRPr="00082830">
        <w:rPr>
          <w:rFonts w:ascii="Times New Roman" w:hAnsi="Times New Roman" w:cs="Times New Roman"/>
          <w:sz w:val="28"/>
          <w:lang w:val="uk-UA"/>
        </w:rPr>
        <w:t>.</w:t>
      </w:r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>Тому екран повинен бути бе</w:t>
      </w:r>
      <w:r>
        <w:rPr>
          <w:rFonts w:ascii="Times New Roman" w:hAnsi="Times New Roman" w:cs="Times New Roman"/>
          <w:sz w:val="28"/>
          <w:lang w:val="uk-UA"/>
        </w:rPr>
        <w:t>з</w:t>
      </w:r>
      <w:r w:rsidRPr="00082830">
        <w:rPr>
          <w:rFonts w:ascii="Times New Roman" w:hAnsi="Times New Roman" w:cs="Times New Roman"/>
          <w:sz w:val="28"/>
          <w:lang w:val="uk-UA"/>
        </w:rPr>
        <w:t>межно великих розмірів.</w:t>
      </w:r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 xml:space="preserve">Треба визначити вигляд поперечної та повздовжньої кореляційних функцій на деякій відстані </w:t>
      </w:r>
      <m:oMath>
        <m:r>
          <w:rPr>
            <w:rFonts w:ascii="Cambria Math" w:hAnsi="Cambria Math" w:cs="Times New Roman"/>
            <w:sz w:val="28"/>
          </w:rPr>
          <m:t>z</m:t>
        </m:r>
      </m:oMath>
      <w:r w:rsidRPr="00082830">
        <w:rPr>
          <w:rFonts w:ascii="Times New Roman" w:hAnsi="Times New Roman" w:cs="Times New Roman"/>
          <w:sz w:val="28"/>
          <w:lang w:val="uk-UA"/>
        </w:rPr>
        <w:t xml:space="preserve"> від площини екрану.</w:t>
      </w:r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 xml:space="preserve">Отже, вільний простір – фільтр з частотною характеристикою </w:t>
      </w:r>
      <m:oMath>
        <m:r>
          <w:rPr>
            <w:rFonts w:ascii="Cambria Math" w:hAnsi="Cambria Math" w:cs="Times New Roman"/>
            <w:sz w:val="28"/>
            <w:lang w:val="el-GR"/>
          </w:rPr>
          <m:t>ζ</m:t>
        </m:r>
        <m:r>
          <w:rPr>
            <w:rFonts w:ascii="Cambria Math" w:hAnsi="Cambria Math" w:cs="Times New Roman"/>
            <w:sz w:val="28"/>
            <w:lang w:val="uk-UA"/>
          </w:rPr>
          <m:t>(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uk-UA"/>
          </w:rPr>
          <m:t>)</m:t>
        </m:r>
      </m:oMath>
      <w:r w:rsidRPr="00082830">
        <w:rPr>
          <w:rFonts w:ascii="Times New Roman" w:hAnsi="Times New Roman" w:cs="Times New Roman"/>
          <w:sz w:val="28"/>
          <w:lang w:val="uk-UA"/>
        </w:rPr>
        <w:t>. На вході фільтра задана функція кореляції, треба знайти її на виході фільтра.</w:t>
      </w:r>
    </w:p>
    <w:p w:rsid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82830">
        <w:rPr>
          <w:rFonts w:ascii="Times New Roman" w:hAnsi="Times New Roman" w:cs="Times New Roman"/>
          <w:sz w:val="28"/>
          <w:lang w:val="uk-UA"/>
        </w:rPr>
        <w:t>Тобто</w:t>
      </w:r>
    </w:p>
    <w:p w:rsidR="00082830" w:rsidRPr="00082830" w:rsidRDefault="00972A89" w:rsidP="00082830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iω</m:t>
                      </m:r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</m:oMath>
      <w:r w:rsidRPr="00082830">
        <w:rPr>
          <w:rFonts w:ascii="Times New Roman" w:hAnsi="Times New Roman" w:cs="Times New Roman"/>
          <w:i/>
          <w:iCs/>
          <w:sz w:val="28"/>
          <w:lang w:val="uk-UA"/>
        </w:rPr>
        <w:t xml:space="preserve"> - </w:t>
      </w:r>
      <w:r w:rsidRPr="00082830">
        <w:rPr>
          <w:rFonts w:ascii="Times New Roman" w:hAnsi="Times New Roman" w:cs="Times New Roman"/>
          <w:sz w:val="28"/>
          <w:lang w:val="uk-UA"/>
        </w:rPr>
        <w:t>спектральна густина</w:t>
      </w:r>
      <w:r w:rsidRPr="00082830">
        <w:rPr>
          <w:rFonts w:ascii="Times New Roman" w:hAnsi="Times New Roman" w:cs="Times New Roman"/>
          <w:sz w:val="28"/>
          <w:lang w:val="ru-RU"/>
        </w:rPr>
        <w:t xml:space="preserve"> </w:t>
      </w:r>
      <w:r w:rsidRPr="00082830">
        <w:rPr>
          <w:rFonts w:ascii="Times New Roman" w:hAnsi="Times New Roman" w:cs="Times New Roman"/>
          <w:sz w:val="28"/>
          <w:lang w:val="uk-UA"/>
        </w:rPr>
        <w:t xml:space="preserve">потужності на виході системи з частотною характеристикою 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iω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>
        <w:rPr>
          <w:rFonts w:ascii="Times New Roman" w:eastAsiaTheme="minorEastAsia" w:hAnsi="Times New Roman" w:cs="Times New Roman"/>
          <w:iCs/>
          <w:sz w:val="28"/>
          <w:lang w:val="ru-RU"/>
        </w:rPr>
        <w:t>.</w:t>
      </w:r>
    </w:p>
    <w:p w:rsidR="00082830" w:rsidRPr="00082830" w:rsidRDefault="00972A89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</m:oMath>
      <w:r w:rsidR="00082830" w:rsidRPr="00082830">
        <w:rPr>
          <w:rFonts w:ascii="Times New Roman" w:hAnsi="Times New Roman" w:cs="Times New Roman"/>
          <w:sz w:val="28"/>
          <w:lang w:val="ru-RU"/>
        </w:rPr>
        <w:t xml:space="preserve"> </w:t>
      </w:r>
      <w:r w:rsidR="00082830" w:rsidRPr="00082830">
        <w:rPr>
          <w:rFonts w:ascii="Times New Roman" w:hAnsi="Times New Roman" w:cs="Times New Roman"/>
          <w:sz w:val="28"/>
          <w:lang w:val="uk-UA"/>
        </w:rPr>
        <w:t>- спектральна густина потужності на вході лінійної системи.</w:t>
      </w:r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>Можна отримати співвідношення для перетворення кореляційних функцій.</w:t>
      </w:r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82830">
        <w:rPr>
          <w:rFonts w:ascii="Times New Roman" w:hAnsi="Times New Roman" w:cs="Times New Roman"/>
          <w:sz w:val="28"/>
          <w:lang w:val="uk-UA"/>
        </w:rPr>
        <w:t xml:space="preserve">Єдиною характеристикою лінійної системи – квадрат модуля частотної характеристики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</w:rPr>
                  <m:t>iω</m:t>
                </m:r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)</m:t>
                </m:r>
              </m:e>
            </m:d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082830" w:rsidRPr="00082830" w:rsidRDefault="00082830" w:rsidP="00082830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6286501</wp:posOffset>
                </wp:positionH>
                <wp:positionV relativeFrom="paragraph">
                  <wp:posOffset>225425</wp:posOffset>
                </wp:positionV>
                <wp:extent cx="572838" cy="3429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2830" w:rsidRPr="00082830" w:rsidRDefault="0008283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082830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(**)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95pt;margin-top:17.75pt;width:45.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" fillcolor="white [3201]" stroked="f" strokeweight=".5pt">
                <v:textbox>
                  <w:txbxContent>
                    <w:p w:rsidR="00082830" w:rsidRPr="00082830" w:rsidRDefault="0008283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082830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(**)</w:t>
                      </w:r>
                    </w:p>
                  </w:txbxContent>
                </v:textbox>
              </v:shape>
            </w:pict>
          </mc:Fallback>
        </mc:AlternateContent>
      </w:r>
      <w:r w:rsidRPr="00082830">
        <w:rPr>
          <w:rFonts w:ascii="Times New Roman" w:hAnsi="Times New Roman" w:cs="Times New Roman"/>
          <w:sz w:val="28"/>
          <w:lang w:val="uk-UA"/>
        </w:rPr>
        <w:t xml:space="preserve">Основна формула має вигляд: </w:t>
      </w:r>
    </w:p>
    <w:p w:rsidR="00082830" w:rsidRPr="00082830" w:rsidRDefault="00972A89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ζ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,u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)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0,</m:t>
            </m:r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sub>
        </m:sSub>
      </m:oMath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- кутові спектри потужності у площинах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=0;</m:t>
        </m:r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z </m:t>
        </m:r>
      </m:oMath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відповідно.</w:t>
      </w:r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Останнє рівняння – розв’язок поставленої задачі (для поперечної функції кореляції), якщо заданими та шуканими функціями є кутові спектри потужності.</w:t>
      </w:r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Використовуючи розв’язок функції кореляції та спектра потужності, </w:t>
      </w:r>
      <w:proofErr w:type="spellStart"/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запишемо</w:t>
      </w:r>
      <w:proofErr w:type="spellEnd"/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розв’язок для випадку, коли задані та шукані є поперечні кореляційні функції. </w:t>
      </w:r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Використовуючи (*) та (**) маємо:</w:t>
      </w:r>
    </w:p>
    <w:p w:rsidR="00082830" w:rsidRPr="00082830" w:rsidRDefault="00972A89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ζ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e>
          </m:nary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,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)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</m:oMath>
      </m:oMathPara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lastRenderedPageBreak/>
        <w:t>Тоді функція кореляції:</w:t>
      </w:r>
    </w:p>
    <w:p w:rsidR="00082830" w:rsidRPr="00082830" w:rsidRDefault="00972A89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Φ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`,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η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η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`</m:t>
                  </m:r>
                </m:e>
              </m:d>
            </m:e>
          </m:nary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`,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d</m:t>
          </m:r>
          <m:r>
            <w:rPr>
              <w:rFonts w:ascii="Cambria Math" w:eastAsiaTheme="minorEastAsia" w:hAnsi="Cambria Math" w:cs="Times New Roman"/>
              <w:sz w:val="28"/>
              <w:lang w:val="el-GR"/>
            </w:rPr>
            <m:t>ξ</m:t>
          </m:r>
          <m:r>
            <w:rPr>
              <w:rFonts w:ascii="Cambria Math" w:eastAsiaTheme="minorEastAsia" w:hAnsi="Cambria Math" w:cs="Times New Roman"/>
              <w:sz w:val="28"/>
            </w:rPr>
            <m:t>`d</m:t>
          </m:r>
          <m:r>
            <w:rPr>
              <w:rFonts w:ascii="Cambria Math" w:eastAsiaTheme="minorEastAsia" w:hAnsi="Cambria Math" w:cs="Times New Roman"/>
              <w:sz w:val="28"/>
              <w:lang w:val="el-GR"/>
            </w:rPr>
            <m:t>η</m:t>
          </m:r>
          <m:r>
            <w:rPr>
              <w:rFonts w:ascii="Cambria Math" w:eastAsiaTheme="minorEastAsia" w:hAnsi="Cambria Math" w:cs="Times New Roman"/>
              <w:sz w:val="28"/>
            </w:rPr>
            <m:t>`</m:t>
          </m:r>
        </m:oMath>
      </m:oMathPara>
    </w:p>
    <w:p w:rsid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де</w:t>
      </w:r>
      <w:r w:rsidRPr="00082830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 w:rsidRPr="00082830">
        <w:rPr>
          <w:rFonts w:ascii="Times New Roman" w:eastAsiaTheme="minorEastAsia" w:hAnsi="Times New Roman" w:cs="Times New Roman"/>
          <w:iCs/>
          <w:sz w:val="28"/>
          <w:lang w:val="el-GR"/>
        </w:rPr>
        <w:t>Φ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η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nary>
          <m:naryPr>
            <m:chr m:val="∬"/>
            <m:limLoc m:val="undOvr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-∞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∞</m:t>
            </m:r>
          </m:sup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p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lang w:val="el-GR"/>
                      </w:rPr>
                      <m:t>ζ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lang w:val="ru-RU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ru-RU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lang w:val="ru-RU"/>
                              </w:rPr>
                              <m:t>2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p>
            </m:sSup>
          </m:e>
        </m:nary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(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+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η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)</m:t>
            </m:r>
          </m:sup>
        </m:sSup>
        <m:r>
          <w:rPr>
            <w:rFonts w:ascii="Cambria Math" w:eastAsiaTheme="minorEastAsia" w:hAnsi="Cambria Math" w:cs="Times New Roman"/>
            <w:sz w:val="28"/>
          </w:rPr>
          <m:t>d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d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Pr="00082830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спектр функції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  <w:lang w:val="el-GR"/>
                  </w:rPr>
                  <m:t>ζ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b>
                    </m:sSub>
                  </m:e>
                </m:d>
              </m:e>
            </m:d>
          </m:e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p>
        </m:sSup>
      </m:oMath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Модуль частотної характеристики вільного простору на відстані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≫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λ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082830" w:rsidRDefault="00972A89" w:rsidP="00082830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ru-RU"/>
        </w:rPr>
      </w:pPr>
      <w:r>
        <w:rPr>
          <w:rFonts w:ascii="Times New Roman" w:eastAsiaTheme="minorEastAsia" w:hAnsi="Times New Roman" w:cs="Times New Roman"/>
          <w:iCs/>
          <w:noProof/>
          <w:sz w:val="28"/>
        </w:rPr>
        <w:drawing>
          <wp:inline distT="0" distB="0" distL="0" distR="0">
            <wp:extent cx="3314065" cy="223710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30" w:rsidRDefault="00082830" w:rsidP="00082830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ru-RU"/>
        </w:rPr>
      </w:pPr>
      <w:r>
        <w:rPr>
          <w:rFonts w:ascii="Times New Roman" w:eastAsiaTheme="minorEastAsia" w:hAnsi="Times New Roman" w:cs="Times New Roman"/>
          <w:iCs/>
          <w:sz w:val="28"/>
          <w:lang w:val="ru-RU"/>
        </w:rPr>
        <w:t>Рис. 34.</w:t>
      </w:r>
    </w:p>
    <w:p w:rsidR="00082830" w:rsidRPr="00082830" w:rsidRDefault="00082830" w:rsidP="00082830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82830">
        <w:rPr>
          <w:rFonts w:ascii="Times New Roman" w:eastAsiaTheme="minorEastAsia" w:hAnsi="Times New Roman" w:cs="Times New Roman"/>
          <w:b/>
          <w:bCs/>
          <w:iCs/>
          <w:sz w:val="28"/>
          <w:lang w:val="uk-UA"/>
        </w:rPr>
        <w:t>Кореляційна функція на значних відстанях</w:t>
      </w:r>
    </w:p>
    <w:p w:rsid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На відстані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≫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λ</m:t>
        </m:r>
      </m:oMath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(значні відстані), модуль частотної характеристики має вигляд </w:t>
      </w:r>
      <w:r w:rsidRPr="00082830">
        <w:rPr>
          <w:rFonts w:ascii="Times New Roman" w:eastAsiaTheme="minorEastAsia" w:hAnsi="Times New Roman" w:cs="Times New Roman"/>
          <w:iCs/>
          <w:sz w:val="28"/>
          <w:lang w:val="ru-RU"/>
        </w:rPr>
        <w:t>“</w:t>
      </w: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прямокутний</w:t>
      </w:r>
      <w:r w:rsidRPr="00082830">
        <w:rPr>
          <w:rFonts w:ascii="Times New Roman" w:eastAsiaTheme="minorEastAsia" w:hAnsi="Times New Roman" w:cs="Times New Roman"/>
          <w:iCs/>
          <w:sz w:val="28"/>
          <w:lang w:val="ru-RU"/>
        </w:rPr>
        <w:t>”</w:t>
      </w: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(Рис.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35</w:t>
      </w: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):  </w:t>
      </w:r>
    </w:p>
    <w:p w:rsidR="00082830" w:rsidRP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m:oMathPara>
        <m:oMathParaPr>
          <m:jc m:val="centerGroup"/>
        </m:oMathParaPr>
        <m:oMath>
          <m:r>
            <m:rPr>
              <m:nor/>
            </m:rPr>
            <w:rPr>
              <w:rFonts w:ascii="Times New Roman" w:eastAsiaTheme="minorEastAsia" w:hAnsi="Times New Roman" w:cs="Times New Roman"/>
              <w:iCs/>
              <w:sz w:val="28"/>
              <w:lang w:val="el-GR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η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sup>
                  </m:sSup>
                </m:e>
              </m:rad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lang w:val="uk-UA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el-GR"/>
                        </w:rPr>
                        <m:t>η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uk-UA"/>
                        </w:rPr>
                        <m:t>2</m:t>
                      </m:r>
                    </m:sup>
                  </m:sSup>
                </m:e>
              </m:rad>
            </m:e>
          </m:d>
          <m:r>
            <w:rPr>
              <w:rFonts w:ascii="Cambria Math" w:eastAsiaTheme="minorEastAsia" w:hAnsi="Cambria Math" w:cs="Times New Roman"/>
              <w:sz w:val="28"/>
              <w:lang w:val="uk-UA"/>
            </w:rPr>
            <m:t>,</m:t>
          </m:r>
          <m:r>
            <w:rPr>
              <w:rFonts w:ascii="Cambria Math" w:eastAsiaTheme="minorEastAsia" w:hAnsi="Cambria Math" w:cs="Times New Roman"/>
              <w:sz w:val="28"/>
            </w:rPr>
            <m:t> </m:t>
          </m:r>
        </m:oMath>
      </m:oMathPara>
    </w:p>
    <w:p w:rsidR="00082830" w:rsidRDefault="00082830" w:rsidP="00082830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де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J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-функція Беселя першого порядку.</m:t>
        </m:r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Підставляючи в (1) для кореляційної функції отримаємо: </w:t>
      </w:r>
    </w:p>
    <w:p w:rsidR="00A64A3C" w:rsidRPr="00A64A3C" w:rsidRDefault="00972A89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eastAsiaTheme="minorEastAsia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π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∞</m:t>
              </m:r>
            </m:sup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(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ru-RU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η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η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ru-RU"/>
                            </w:rPr>
                            <m:t>2</m:t>
                          </m:r>
                        </m:sup>
                      </m:sSup>
                    </m:e>
                  </m:rad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)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ξ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ru-RU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lang w:val="ru-RU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η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-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el-GR"/>
                                </w:rPr>
                                <m:t>η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lang w:val="ru-RU"/>
                                </w:rPr>
                                <m:t>`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lang w:val="ru-RU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`,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el-GR"/>
                    </w:rPr>
                    <m:t>η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lang w:val="ru-RU"/>
                    </w:rPr>
                    <m:t>`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</w:rPr>
                <m:t>d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`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d</m:t>
              </m:r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η</m:t>
              </m:r>
              <m:r>
                <w:rPr>
                  <w:rFonts w:ascii="Cambria Math" w:eastAsiaTheme="minorEastAsia" w:hAnsi="Cambria Math" w:cs="Times New Roman"/>
                  <w:sz w:val="28"/>
                  <w:lang w:val="ru-RU"/>
                </w:rPr>
                <m:t>`</m:t>
              </m:r>
              <m:r>
                <m:rPr>
                  <m:nor/>
                </m:rPr>
                <w:rPr>
                  <w:rFonts w:ascii="Times New Roman" w:eastAsiaTheme="minorEastAsia" w:hAnsi="Times New Roman" w:cs="Times New Roman"/>
                  <w:iCs/>
                  <w:sz w:val="28"/>
                </w:rPr>
                <m:t> </m:t>
              </m:r>
            </m:e>
          </m:nary>
        </m:oMath>
      </m:oMathPara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Вигляд поперечної кореляційної функції не змінюється зі зміною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 </m:t>
            </m:r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при </m:t>
            </m:r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≫</m:t>
            </m:r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λ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Важливо, що екран має безмежний розмір (однорідне поле!).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Поле не лишається незмінним при виконанні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≫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λ</m:t>
        </m:r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та безмежному екрані. Вигляд поля зберігається при виконанні умови геометричної оптики, що накладає обернені обмеження (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є меншим деякої величини).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lastRenderedPageBreak/>
        <w:t xml:space="preserve">Незалежність поперечної кореляційної функції від координати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A64A3C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спрощує розв’язок багатьох статистичних задач.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В основу розв’язку лежить наступні: спочатку розв’язується динамічна задача (визначається поле), а потім робляться необхідні усереднення.</w:t>
      </w:r>
    </w:p>
    <w:p w:rsid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Тому, для отримання кореляційної функції кола, розсіяного випадковим екраном, треба спочатку знайти поля, потім здійснити множення та усереднення.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На основі (**), для кутової спектральної густини потужності, можна записати: </w:t>
      </w:r>
    </w:p>
    <w:p w:rsidR="00A64A3C" w:rsidRPr="00A64A3C" w:rsidRDefault="00972A89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,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, 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≪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0,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≫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</m:m>
            </m:e>
          </m:d>
        </m:oMath>
      </m:oMathPara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Зміст наступний: в площині просторових частот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є круглий отвір, радіусом </w:t>
      </w:r>
      <m:oMath>
        <m:r>
          <w:rPr>
            <w:rFonts w:ascii="Cambria Math" w:eastAsiaTheme="minorEastAsia" w:hAnsi="Cambria Math" w:cs="Times New Roman"/>
            <w:sz w:val="28"/>
          </w:rPr>
          <m:t>k</m:t>
        </m:r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з центром в т.О.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Кутовий спектр на виході являє собою ту частину вхідного спектру, яка знаходиться всередині отвору. Область частот поза колом – непрозора. </w:t>
      </w:r>
    </w:p>
    <w:p w:rsidR="00082830" w:rsidRDefault="00972A89" w:rsidP="00082830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noProof/>
          <w:sz w:val="28"/>
        </w:rPr>
        <w:drawing>
          <wp:inline distT="0" distB="0" distL="0" distR="0">
            <wp:extent cx="2723515" cy="2600325"/>
            <wp:effectExtent l="0" t="0" r="63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51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2830" w:rsidRDefault="00082830" w:rsidP="00082830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Рис. 35. </w:t>
      </w:r>
      <w:r w:rsidRPr="00082830">
        <w:rPr>
          <w:rFonts w:ascii="Times New Roman" w:eastAsiaTheme="minorEastAsia" w:hAnsi="Times New Roman" w:cs="Times New Roman"/>
          <w:iCs/>
          <w:sz w:val="28"/>
          <w:lang w:val="uk-UA"/>
        </w:rPr>
        <w:t>Перетворення кутового спектра потужності вільним простором</w:t>
      </w:r>
    </w:p>
    <w:p w:rsidR="00A64A3C" w:rsidRPr="00A64A3C" w:rsidRDefault="00A64A3C" w:rsidP="00A64A3C">
      <w:pPr>
        <w:pStyle w:val="a8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перетворення коротких хвиль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Нехай довжина хвилі зменшується. Тоді </w:t>
      </w:r>
      <m:oMath>
        <m:r>
          <w:rPr>
            <w:rFonts w:ascii="Cambria Math" w:eastAsiaTheme="minorEastAsia" w:hAnsi="Cambria Math" w:cs="Times New Roman"/>
            <w:sz w:val="28"/>
          </w:rPr>
          <m:t>k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eastAsiaTheme="minorEastAsia" w:hAnsi="Cambria Math" w:cs="Times New Roman"/>
                <w:sz w:val="28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λ</m:t>
            </m:r>
          </m:den>
        </m:f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росте. Радіус кола</w:t>
      </w:r>
      <w:r w:rsidR="0002555E">
        <w:rPr>
          <w:rFonts w:ascii="Times New Roman" w:eastAsiaTheme="minorEastAsia" w:hAnsi="Times New Roman" w:cs="Times New Roman"/>
          <w:iCs/>
          <w:sz w:val="28"/>
          <w:lang w:val="uk-UA"/>
        </w:rPr>
        <w:t>,</w:t>
      </w: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через який проходить спектр вхідної функції (Рис.</w:t>
      </w:r>
      <w:r w:rsid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35</w:t>
      </w: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) росте.</w:t>
      </w:r>
    </w:p>
    <w:p w:rsidR="00A64A3C" w:rsidRPr="00A64A3C" w:rsidRDefault="00A64A3C" w:rsidP="00A64A3C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Нарешті буде такий момент, коли у цьому колі поміститися вся функція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 </m:t>
            </m:r>
            <m:r>
              <w:rPr>
                <w:rFonts w:ascii="Cambria Math" w:eastAsiaTheme="minorEastAsia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 </m:t>
        </m:r>
      </m:oMath>
      <w:r w:rsidRPr="00A64A3C">
        <w:rPr>
          <w:rFonts w:ascii="Times New Roman" w:eastAsiaTheme="minorEastAsia" w:hAnsi="Times New Roman" w:cs="Times New Roman"/>
          <w:iCs/>
          <w:sz w:val="28"/>
          <w:lang w:val="uk-UA"/>
        </w:rPr>
        <w:t>так що знехтувати частиною за колом.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Якщо ефективну ширину кутового спектру позначити через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</m:oMath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то виконується умова:</w:t>
      </w:r>
    </w:p>
    <w:p w:rsidR="0002555E" w:rsidRPr="0002555E" w:rsidRDefault="00972A89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≪k</m:t>
          </m:r>
        </m:oMath>
      </m:oMathPara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При виконанні останньої умови величина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=0,</m:t>
        </m:r>
      </m:oMath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при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lang w:val="ru-RU"/>
          </w:rPr>
          <m:t>+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lang w:val="ru-RU"/>
          </w:rPr>
          <m:t>&gt;</m:t>
        </m:r>
        <m:sSup>
          <m:sSup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p>
        </m:sSup>
      </m:oMath>
      <w:r w:rsidRPr="0002555E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тому отримується:</w:t>
      </w:r>
    </w:p>
    <w:p w:rsidR="0002555E" w:rsidRPr="0002555E" w:rsidRDefault="00972A89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</m:oMath>
      </m:oMathPara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При поширенні хвилі зберігають вигляд кутового спектра потужності.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Форма кореляційної функції також зберігається, так що вона однозначно зв’язана з кутовим спектром.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Функція кореляції – простий сигнал, тобто добуток ширини спектра на величину </w:t>
      </w:r>
      <w:proofErr w:type="spellStart"/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інтервала</w:t>
      </w:r>
      <w:proofErr w:type="spellEnd"/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кореляції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</m:oMath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дорівнює приблизно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2π:</m:t>
        </m:r>
      </m:oMath>
    </w:p>
    <w:p w:rsidR="0002555E" w:rsidRPr="0002555E" w:rsidRDefault="00972A89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≈2π; 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ξ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≈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0</m:t>
                  </m:r>
                </m:sub>
              </m:sSub>
            </m:den>
          </m:f>
        </m:oMath>
      </m:oMathPara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Тоді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ξ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≫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λ</m:t>
        </m:r>
      </m:oMath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, тобто інтервал кореляції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≫</m:t>
        </m:r>
      </m:oMath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довжини хвилі: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eastAsiaTheme="minorEastAsia" w:hAnsi="Cambria Math" w:cs="Times New Roman"/>
                <w:sz w:val="28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η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0</m:t>
            </m:r>
          </m:sub>
        </m:sSub>
      </m:oMath>
      <w:r w:rsidRPr="0002555E">
        <w:rPr>
          <w:rFonts w:ascii="Times New Roman" w:eastAsiaTheme="minorEastAsia" w:hAnsi="Times New Roman" w:cs="Times New Roman"/>
          <w:iCs/>
          <w:sz w:val="28"/>
        </w:rPr>
        <w:t>(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ξ</m:t>
        </m:r>
        <m:r>
          <w:rPr>
            <w:rFonts w:ascii="Cambria Math" w:eastAsiaTheme="minorEastAsia" w:hAnsi="Cambria Math" w:cs="Times New Roman"/>
            <w:sz w:val="28"/>
          </w:rPr>
          <m:t>,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η</m:t>
        </m:r>
      </m:oMath>
      <w:r w:rsidRPr="0002555E">
        <w:rPr>
          <w:rFonts w:ascii="Times New Roman" w:eastAsiaTheme="minorEastAsia" w:hAnsi="Times New Roman" w:cs="Times New Roman"/>
          <w:iCs/>
          <w:sz w:val="28"/>
        </w:rPr>
        <w:t>).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Даний результат лишається в силі, якщо спостерігати розсіяння не на плоскому екрані, а в однорідному об’ємі, коли нехтуємо вторинним розсіюванням.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Розіб’єм об’єм на шари, відстані між якими = інтервалу кореляції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082830" w:rsidRDefault="0002555E" w:rsidP="0002555E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ru-RU"/>
        </w:rPr>
      </w:pPr>
      <w:r>
        <w:rPr>
          <w:rFonts w:ascii="Times New Roman" w:eastAsiaTheme="minorEastAsia" w:hAnsi="Times New Roman" w:cs="Times New Roman"/>
          <w:iCs/>
          <w:noProof/>
          <w:sz w:val="28"/>
        </w:rPr>
        <w:drawing>
          <wp:inline distT="0" distB="0" distL="0" distR="0">
            <wp:extent cx="4422775" cy="22180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775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55E" w:rsidRDefault="0002555E" w:rsidP="0002555E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ru-RU"/>
        </w:rPr>
      </w:pPr>
      <w:r>
        <w:rPr>
          <w:rFonts w:ascii="Times New Roman" w:eastAsiaTheme="minorEastAsia" w:hAnsi="Times New Roman" w:cs="Times New Roman"/>
          <w:iCs/>
          <w:sz w:val="28"/>
          <w:lang w:val="ru-RU"/>
        </w:rPr>
        <w:t>Рис. 36.</w:t>
      </w:r>
    </w:p>
    <w:p w:rsidR="0002555E" w:rsidRPr="0002555E" w:rsidRDefault="0002555E" w:rsidP="0002555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В силу однорідності об’єму, кожний з шарів буде розсіювати хвилю, що володіє функцією кореляції, не залежну від відстані та однакову порівняно з отриманою відстанню від інших об’єктів.</w:t>
      </w:r>
    </w:p>
    <w:p w:rsidR="007B53B8" w:rsidRPr="00082830" w:rsidRDefault="0002555E" w:rsidP="00E55C33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2555E">
        <w:rPr>
          <w:rFonts w:ascii="Times New Roman" w:eastAsiaTheme="minorEastAsia" w:hAnsi="Times New Roman" w:cs="Times New Roman"/>
          <w:iCs/>
          <w:sz w:val="28"/>
          <w:lang w:val="uk-UA"/>
        </w:rPr>
        <w:t>У будь-якій точці середовища функції кореляції ∑ (оскільки об’єми розсіювання незалежні), а ∑ багатьох функцій кореляції однакового вигляду дає функцію кореляції того ж виду.</w:t>
      </w:r>
    </w:p>
    <w:sectPr w:rsidR="007B53B8" w:rsidRPr="00082830" w:rsidSect="003178DA">
      <w:foot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8DA" w:rsidRDefault="003178DA" w:rsidP="003178DA">
      <w:pPr>
        <w:spacing w:after="0" w:line="240" w:lineRule="auto"/>
      </w:pPr>
      <w:r>
        <w:separator/>
      </w:r>
    </w:p>
  </w:endnote>
  <w:endnote w:type="continuationSeparator" w:id="0">
    <w:p w:rsidR="003178DA" w:rsidRDefault="003178DA" w:rsidP="00317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4489769"/>
      <w:docPartObj>
        <w:docPartGallery w:val="Page Numbers (Bottom of Page)"/>
        <w:docPartUnique/>
      </w:docPartObj>
    </w:sdtPr>
    <w:sdtEndPr/>
    <w:sdtContent>
      <w:p w:rsidR="003178DA" w:rsidRDefault="003178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A89" w:rsidRPr="00972A89">
          <w:rPr>
            <w:noProof/>
            <w:lang w:val="ru-RU"/>
          </w:rPr>
          <w:t>4</w:t>
        </w:r>
        <w:r>
          <w:fldChar w:fldCharType="end"/>
        </w:r>
      </w:p>
    </w:sdtContent>
  </w:sdt>
  <w:p w:rsidR="003178DA" w:rsidRDefault="003178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8DA" w:rsidRDefault="003178DA" w:rsidP="003178DA">
      <w:pPr>
        <w:spacing w:after="0" w:line="240" w:lineRule="auto"/>
      </w:pPr>
      <w:r>
        <w:separator/>
      </w:r>
    </w:p>
  </w:footnote>
  <w:footnote w:type="continuationSeparator" w:id="0">
    <w:p w:rsidR="003178DA" w:rsidRDefault="003178DA" w:rsidP="00317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E4FE0"/>
    <w:multiLevelType w:val="hybridMultilevel"/>
    <w:tmpl w:val="35E031FA"/>
    <w:lvl w:ilvl="0" w:tplc="A774B3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78"/>
    <w:rsid w:val="0002555E"/>
    <w:rsid w:val="00082830"/>
    <w:rsid w:val="003178DA"/>
    <w:rsid w:val="0040079A"/>
    <w:rsid w:val="007B53B8"/>
    <w:rsid w:val="00972A89"/>
    <w:rsid w:val="00A64A3C"/>
    <w:rsid w:val="00C4007A"/>
    <w:rsid w:val="00D72478"/>
    <w:rsid w:val="00E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EADF09-36EE-4BBA-99A9-710646BA7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8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78DA"/>
  </w:style>
  <w:style w:type="paragraph" w:styleId="a5">
    <w:name w:val="footer"/>
    <w:basedOn w:val="a"/>
    <w:link w:val="a6"/>
    <w:uiPriority w:val="99"/>
    <w:unhideWhenUsed/>
    <w:rsid w:val="003178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78DA"/>
  </w:style>
  <w:style w:type="paragraph" w:styleId="a7">
    <w:name w:val="Normal (Web)"/>
    <w:basedOn w:val="a"/>
    <w:uiPriority w:val="99"/>
    <w:semiHidden/>
    <w:unhideWhenUsed/>
    <w:rsid w:val="00082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A64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7</cp:revision>
  <dcterms:created xsi:type="dcterms:W3CDTF">2021-02-02T13:40:00Z</dcterms:created>
  <dcterms:modified xsi:type="dcterms:W3CDTF">2021-02-02T19:21:00Z</dcterms:modified>
</cp:coreProperties>
</file>