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0E9" w:rsidRPr="00DC7C40" w:rsidRDefault="006161BF" w:rsidP="00174982">
      <w:pPr>
        <w:spacing w:after="0" w:line="240" w:lineRule="auto"/>
        <w:ind w:firstLine="567"/>
        <w:jc w:val="right"/>
        <w:rPr>
          <w:rFonts w:ascii="Book Antiqua" w:hAnsi="Book Antiqua"/>
          <w:b/>
          <w:i/>
          <w:sz w:val="26"/>
          <w:szCs w:val="26"/>
        </w:rPr>
      </w:pPr>
      <w:proofErr w:type="spellStart"/>
      <w:r w:rsidRPr="00DC7C40">
        <w:rPr>
          <w:rFonts w:ascii="Book Antiqua" w:hAnsi="Book Antiqua"/>
          <w:b/>
          <w:i/>
          <w:sz w:val="26"/>
          <w:szCs w:val="26"/>
        </w:rPr>
        <w:t>Бучко</w:t>
      </w:r>
      <w:proofErr w:type="spellEnd"/>
      <w:r w:rsidRPr="00DC7C40">
        <w:rPr>
          <w:rFonts w:ascii="Book Antiqua" w:hAnsi="Book Antiqua"/>
          <w:b/>
          <w:i/>
          <w:sz w:val="26"/>
          <w:szCs w:val="26"/>
        </w:rPr>
        <w:t xml:space="preserve"> Ж. І., </w:t>
      </w:r>
    </w:p>
    <w:p w:rsidR="00074DF1" w:rsidRPr="00DC7C40" w:rsidRDefault="00074DF1" w:rsidP="00174982">
      <w:pPr>
        <w:spacing w:after="0" w:line="240" w:lineRule="auto"/>
        <w:ind w:firstLine="567"/>
        <w:jc w:val="right"/>
        <w:rPr>
          <w:rFonts w:ascii="Book Antiqua" w:hAnsi="Book Antiqua"/>
          <w:i/>
          <w:sz w:val="26"/>
          <w:szCs w:val="26"/>
        </w:rPr>
      </w:pPr>
      <w:r w:rsidRPr="00DC7C40">
        <w:rPr>
          <w:rFonts w:ascii="Book Antiqua" w:hAnsi="Book Antiqua"/>
          <w:i/>
          <w:sz w:val="26"/>
          <w:szCs w:val="26"/>
        </w:rPr>
        <w:t>д</w:t>
      </w:r>
      <w:r w:rsidR="00A87F65" w:rsidRPr="00DC7C40">
        <w:rPr>
          <w:rFonts w:ascii="Book Antiqua" w:hAnsi="Book Antiqua"/>
          <w:i/>
          <w:sz w:val="26"/>
          <w:szCs w:val="26"/>
        </w:rPr>
        <w:t>.</w:t>
      </w:r>
      <w:r w:rsidRPr="00DC7C40">
        <w:rPr>
          <w:rFonts w:ascii="Book Antiqua" w:hAnsi="Book Antiqua"/>
          <w:i/>
          <w:sz w:val="26"/>
          <w:szCs w:val="26"/>
        </w:rPr>
        <w:t xml:space="preserve"> </w:t>
      </w:r>
      <w:proofErr w:type="spellStart"/>
      <w:r w:rsidRPr="00DC7C40">
        <w:rPr>
          <w:rFonts w:ascii="Book Antiqua" w:hAnsi="Book Antiqua"/>
          <w:i/>
          <w:sz w:val="26"/>
          <w:szCs w:val="26"/>
        </w:rPr>
        <w:t>геогр</w:t>
      </w:r>
      <w:r w:rsidR="00A87F65" w:rsidRPr="00DC7C40">
        <w:rPr>
          <w:rFonts w:ascii="Book Antiqua" w:hAnsi="Book Antiqua"/>
          <w:i/>
          <w:sz w:val="26"/>
          <w:szCs w:val="26"/>
        </w:rPr>
        <w:t>.</w:t>
      </w:r>
      <w:r w:rsidRPr="00DC7C40">
        <w:rPr>
          <w:rFonts w:ascii="Book Antiqua" w:hAnsi="Book Antiqua"/>
          <w:i/>
          <w:sz w:val="26"/>
          <w:szCs w:val="26"/>
        </w:rPr>
        <w:t>н</w:t>
      </w:r>
      <w:proofErr w:type="spellEnd"/>
      <w:r w:rsidR="00A87F65" w:rsidRPr="00DC7C40">
        <w:rPr>
          <w:rFonts w:ascii="Book Antiqua" w:hAnsi="Book Antiqua"/>
          <w:i/>
          <w:sz w:val="26"/>
          <w:szCs w:val="26"/>
        </w:rPr>
        <w:t>.</w:t>
      </w:r>
      <w:r w:rsidRPr="00DC7C40">
        <w:rPr>
          <w:rFonts w:ascii="Book Antiqua" w:hAnsi="Book Antiqua"/>
          <w:i/>
          <w:sz w:val="26"/>
          <w:szCs w:val="26"/>
        </w:rPr>
        <w:t>, доцент</w:t>
      </w:r>
    </w:p>
    <w:p w:rsidR="00074DF1" w:rsidRPr="00DC7C40" w:rsidRDefault="00074DF1" w:rsidP="00174982">
      <w:pPr>
        <w:spacing w:after="0" w:line="240" w:lineRule="auto"/>
        <w:ind w:firstLine="567"/>
        <w:jc w:val="right"/>
        <w:rPr>
          <w:rFonts w:ascii="Book Antiqua" w:hAnsi="Book Antiqua"/>
          <w:i/>
          <w:sz w:val="26"/>
          <w:szCs w:val="26"/>
        </w:rPr>
      </w:pPr>
      <w:r w:rsidRPr="00DC7C40">
        <w:rPr>
          <w:rFonts w:ascii="Book Antiqua" w:hAnsi="Book Antiqua"/>
          <w:i/>
          <w:sz w:val="26"/>
          <w:szCs w:val="26"/>
        </w:rPr>
        <w:t xml:space="preserve">Чернівецький національний університет імені Юрія </w:t>
      </w:r>
      <w:proofErr w:type="spellStart"/>
      <w:r w:rsidRPr="00DC7C40">
        <w:rPr>
          <w:rFonts w:ascii="Book Antiqua" w:hAnsi="Book Antiqua"/>
          <w:i/>
          <w:sz w:val="26"/>
          <w:szCs w:val="26"/>
        </w:rPr>
        <w:t>Федьковича</w:t>
      </w:r>
      <w:proofErr w:type="spellEnd"/>
    </w:p>
    <w:p w:rsidR="00074DF1" w:rsidRPr="00DC7C40" w:rsidRDefault="00074DF1" w:rsidP="00174982">
      <w:pPr>
        <w:spacing w:after="0" w:line="240" w:lineRule="auto"/>
        <w:ind w:firstLine="567"/>
        <w:jc w:val="right"/>
        <w:rPr>
          <w:rFonts w:ascii="Book Antiqua" w:hAnsi="Book Antiqua"/>
          <w:i/>
          <w:sz w:val="26"/>
          <w:szCs w:val="26"/>
        </w:rPr>
      </w:pPr>
    </w:p>
    <w:p w:rsidR="00074DF1" w:rsidRPr="00DC7C40" w:rsidRDefault="00FA3E3C" w:rsidP="00174982">
      <w:pPr>
        <w:spacing w:after="0" w:line="240" w:lineRule="auto"/>
        <w:ind w:firstLine="567"/>
        <w:jc w:val="center"/>
        <w:rPr>
          <w:rFonts w:ascii="Book Antiqua" w:hAnsi="Book Antiqua"/>
          <w:b/>
          <w:sz w:val="26"/>
          <w:szCs w:val="26"/>
        </w:rPr>
      </w:pPr>
      <w:r w:rsidRPr="00DC7C40">
        <w:rPr>
          <w:rFonts w:ascii="Book Antiqua" w:hAnsi="Book Antiqua"/>
          <w:b/>
          <w:sz w:val="26"/>
          <w:szCs w:val="26"/>
        </w:rPr>
        <w:t xml:space="preserve">ТЕНДЕНЦІЇ </w:t>
      </w:r>
      <w:r w:rsidR="00CF0C64" w:rsidRPr="00DC7C40">
        <w:rPr>
          <w:rFonts w:ascii="Book Antiqua" w:hAnsi="Book Antiqua"/>
          <w:b/>
          <w:sz w:val="26"/>
          <w:szCs w:val="26"/>
        </w:rPr>
        <w:t>РОЗВИТКУ</w:t>
      </w:r>
      <w:r w:rsidRPr="00DC7C40">
        <w:rPr>
          <w:rFonts w:ascii="Book Antiqua" w:hAnsi="Book Antiqua"/>
          <w:b/>
          <w:sz w:val="26"/>
          <w:szCs w:val="26"/>
        </w:rPr>
        <w:t xml:space="preserve"> ТУРИЗМУ</w:t>
      </w:r>
      <w:r w:rsidR="00074DF1" w:rsidRPr="00DC7C40">
        <w:rPr>
          <w:rFonts w:ascii="Book Antiqua" w:hAnsi="Book Antiqua"/>
          <w:b/>
          <w:sz w:val="26"/>
          <w:szCs w:val="26"/>
        </w:rPr>
        <w:t xml:space="preserve"> </w:t>
      </w:r>
      <w:r w:rsidR="00CF0C64" w:rsidRPr="00DC7C40">
        <w:rPr>
          <w:rFonts w:ascii="Book Antiqua" w:hAnsi="Book Antiqua"/>
          <w:b/>
          <w:sz w:val="26"/>
          <w:szCs w:val="26"/>
        </w:rPr>
        <w:t>В ЄВРОРЕГІОНАХ ЗА УЧАСТІ УКРАЇНИ</w:t>
      </w:r>
    </w:p>
    <w:p w:rsidR="00074DF1" w:rsidRPr="00DC7C40" w:rsidRDefault="00074DF1" w:rsidP="00174982">
      <w:pPr>
        <w:spacing w:after="0" w:line="240" w:lineRule="auto"/>
        <w:ind w:firstLine="567"/>
        <w:jc w:val="center"/>
        <w:rPr>
          <w:rFonts w:ascii="Book Antiqua" w:hAnsi="Book Antiqua"/>
          <w:b/>
          <w:sz w:val="26"/>
          <w:szCs w:val="26"/>
        </w:rPr>
      </w:pPr>
    </w:p>
    <w:p w:rsidR="00CF0C64" w:rsidRPr="00DC7C40" w:rsidRDefault="00CF0C64" w:rsidP="00174982">
      <w:pPr>
        <w:widowControl w:val="0"/>
        <w:spacing w:after="0" w:line="240" w:lineRule="auto"/>
        <w:ind w:firstLine="567"/>
        <w:rPr>
          <w:rFonts w:ascii="Book Antiqua" w:hAnsi="Book Antiqua"/>
          <w:sz w:val="26"/>
          <w:szCs w:val="26"/>
        </w:rPr>
      </w:pPr>
      <w:r w:rsidRPr="00DC7C40">
        <w:rPr>
          <w:rFonts w:ascii="Book Antiqua" w:hAnsi="Book Antiqua"/>
          <w:sz w:val="26"/>
          <w:szCs w:val="26"/>
        </w:rPr>
        <w:t>В</w:t>
      </w:r>
      <w:r w:rsidRPr="00DC7C40">
        <w:rPr>
          <w:rFonts w:ascii="Book Antiqua" w:hAnsi="Book Antiqua"/>
          <w:sz w:val="26"/>
          <w:szCs w:val="26"/>
        </w:rPr>
        <w:t xml:space="preserve">ажливою ознакою державної регіональної політики є транскордонне співробітництво з його вищою еволюційною формою – </w:t>
      </w:r>
      <w:proofErr w:type="spellStart"/>
      <w:r w:rsidRPr="00DC7C40">
        <w:rPr>
          <w:rFonts w:ascii="Book Antiqua" w:hAnsi="Book Antiqua"/>
          <w:sz w:val="26"/>
          <w:szCs w:val="26"/>
        </w:rPr>
        <w:t>єврорегіонами</w:t>
      </w:r>
      <w:proofErr w:type="spellEnd"/>
      <w:r w:rsidRPr="00DC7C40">
        <w:rPr>
          <w:rFonts w:ascii="Book Antiqua" w:hAnsi="Book Antiqua"/>
          <w:sz w:val="26"/>
          <w:szCs w:val="26"/>
        </w:rPr>
        <w:t>, які мають на меті зміцнити та поширити добросусідські відносини та створити сприятливі умови для інтеграції національних економік суміжних країн. Така діяльність повинна ґрунтуватися на відповідній системі мотивації та належному кадровому забезпеченні. У цьому контексті актуалізується роль регіональних органів державної влади, які спроможні виступити ініціатором розвитку інституційного середовища, спрямованого на формування ефективного міжрегіонального та транскордонного співробітництва. На сьогоднішній день має поширюватись посилення впливу інститутів громадянського суспільства на центральні органи державної влади з метою усвідомлення останніми всіх тих переваг, які несе у собі міжрегіональна та транскордонна співпраця в контексті активізації зовнішньоекономічної діяльності регіонів, а в ширшому розумінні – в процесі європейської інтеграції України загалом.</w:t>
      </w:r>
    </w:p>
    <w:p w:rsidR="001A66A1" w:rsidRPr="00DC7C40" w:rsidRDefault="001A66A1" w:rsidP="00174982">
      <w:pPr>
        <w:pStyle w:val="a4"/>
        <w:spacing w:after="0" w:line="240" w:lineRule="auto"/>
        <w:ind w:left="0" w:firstLine="567"/>
        <w:rPr>
          <w:rFonts w:ascii="Book Antiqua" w:hAnsi="Book Antiqua"/>
          <w:sz w:val="26"/>
          <w:szCs w:val="26"/>
        </w:rPr>
      </w:pPr>
      <w:r w:rsidRPr="00DC7C40">
        <w:rPr>
          <w:rFonts w:ascii="Book Antiqua" w:hAnsi="Book Antiqua"/>
          <w:sz w:val="26"/>
          <w:szCs w:val="26"/>
        </w:rPr>
        <w:t xml:space="preserve">На державних кордонах України за 1993–2015 рр. створено десять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Буг, Верхній Прут, Нижній Дунай, Карпатський, Дніпро, С</w:t>
      </w:r>
      <w:r w:rsidR="00601132">
        <w:rPr>
          <w:rFonts w:ascii="Book Antiqua" w:hAnsi="Book Antiqua"/>
          <w:sz w:val="26"/>
          <w:szCs w:val="26"/>
        </w:rPr>
        <w:t>лобожанщина, Ярославна, Донбас,</w:t>
      </w:r>
      <w:r w:rsidRPr="00DC7C40">
        <w:rPr>
          <w:rFonts w:ascii="Book Antiqua" w:hAnsi="Book Antiqua"/>
          <w:sz w:val="26"/>
          <w:szCs w:val="26"/>
        </w:rPr>
        <w:t xml:space="preserve"> Дністер</w:t>
      </w:r>
      <w:r w:rsidR="00601132">
        <w:rPr>
          <w:rFonts w:ascii="Book Antiqua" w:hAnsi="Book Antiqua"/>
          <w:sz w:val="26"/>
          <w:szCs w:val="26"/>
        </w:rPr>
        <w:t xml:space="preserve"> і Чорноморський</w:t>
      </w:r>
      <w:r w:rsidRPr="00DC7C40">
        <w:rPr>
          <w:rFonts w:ascii="Book Antiqua" w:hAnsi="Book Antiqua"/>
          <w:sz w:val="26"/>
          <w:szCs w:val="26"/>
        </w:rPr>
        <w:t>, які є організаційними формами співробітництва адміністративно-територіальних одиниць прилеглих держав. До їх функціонування залучено Вінницьку, Волинську, Донецьку, Закарпатську, Івано-Франківську, Луганську, Львівську, Одеську, Сумську, Харківську, Чернівецьку та Чернігівську області</w:t>
      </w:r>
      <w:r w:rsidRPr="00DC7C40">
        <w:rPr>
          <w:rFonts w:ascii="Book Antiqua" w:hAnsi="Book Antiqua"/>
          <w:sz w:val="26"/>
          <w:szCs w:val="26"/>
        </w:rPr>
        <w:t>.</w:t>
      </w:r>
    </w:p>
    <w:p w:rsidR="001A66A1" w:rsidRPr="00DC7C40" w:rsidRDefault="001A66A1" w:rsidP="00174982">
      <w:pPr>
        <w:spacing w:after="0" w:line="240" w:lineRule="auto"/>
        <w:ind w:firstLine="567"/>
        <w:rPr>
          <w:rFonts w:ascii="Book Antiqua" w:hAnsi="Book Antiqua"/>
          <w:sz w:val="26"/>
          <w:szCs w:val="26"/>
        </w:rPr>
      </w:pPr>
      <w:proofErr w:type="spellStart"/>
      <w:r w:rsidRPr="00DC7C40">
        <w:rPr>
          <w:rFonts w:ascii="Book Antiqua" w:hAnsi="Book Antiqua"/>
          <w:sz w:val="26"/>
          <w:szCs w:val="26"/>
        </w:rPr>
        <w:t>Єврорегіони</w:t>
      </w:r>
      <w:proofErr w:type="spellEnd"/>
      <w:r w:rsidRPr="00DC7C40">
        <w:rPr>
          <w:rFonts w:ascii="Book Antiqua" w:hAnsi="Book Antiqua"/>
          <w:sz w:val="26"/>
          <w:szCs w:val="26"/>
        </w:rPr>
        <w:t xml:space="preserve"> за участю областей України характеризуються загальними особливостями: 1) сприяють розвитку транскордонної співпраці між обласними органами влади; 2) створені центральними органами влади при відповідній ініціативі знизу (крім </w:t>
      </w:r>
      <w:proofErr w:type="spellStart"/>
      <w:r w:rsidRPr="00DC7C40">
        <w:rPr>
          <w:rFonts w:ascii="Book Antiqua" w:hAnsi="Book Antiqua"/>
          <w:sz w:val="26"/>
          <w:szCs w:val="26"/>
        </w:rPr>
        <w:t>єврорегіону</w:t>
      </w:r>
      <w:proofErr w:type="spellEnd"/>
      <w:r w:rsidRPr="00DC7C40">
        <w:rPr>
          <w:rFonts w:ascii="Book Antiqua" w:hAnsi="Book Antiqua"/>
          <w:sz w:val="26"/>
          <w:szCs w:val="26"/>
        </w:rPr>
        <w:t xml:space="preserve"> «Буг»); 3) організаційні структури всіх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сформовані </w:t>
      </w:r>
      <w:r w:rsidR="00F203B3">
        <w:rPr>
          <w:rFonts w:ascii="Book Antiqua" w:hAnsi="Book Antiqua"/>
          <w:sz w:val="26"/>
          <w:szCs w:val="26"/>
        </w:rPr>
        <w:t>за однією схемою. Недоліком струк</w:t>
      </w:r>
      <w:r w:rsidRPr="00DC7C40">
        <w:rPr>
          <w:rFonts w:ascii="Book Antiqua" w:hAnsi="Book Antiqua"/>
          <w:sz w:val="26"/>
          <w:szCs w:val="26"/>
        </w:rPr>
        <w:t xml:space="preserve">турної організації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є відсутність підрозділів, що займалися би роботою з населенням та сприяння залученню коштів для реалізації транскордонних проектів окремими організаціями та підприємствами. Немає також моніторингових комісій, а поточну діяльність ведуть підрозділи органів влади, а не відокремлені структури.</w:t>
      </w:r>
    </w:p>
    <w:p w:rsidR="001A66A1" w:rsidRPr="00DC7C40" w:rsidRDefault="001A66A1" w:rsidP="00174982">
      <w:pPr>
        <w:pStyle w:val="a4"/>
        <w:spacing w:after="0" w:line="240" w:lineRule="auto"/>
        <w:ind w:left="0" w:firstLine="567"/>
        <w:rPr>
          <w:rFonts w:ascii="Book Antiqua" w:hAnsi="Book Antiqua"/>
          <w:sz w:val="26"/>
          <w:szCs w:val="26"/>
        </w:rPr>
      </w:pPr>
      <w:r w:rsidRPr="00DC7C40">
        <w:rPr>
          <w:rFonts w:ascii="Book Antiqua" w:hAnsi="Book Antiqua"/>
          <w:sz w:val="26"/>
          <w:szCs w:val="26"/>
        </w:rPr>
        <w:t xml:space="preserve">У більшості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рекреаційно-туристична діяльність визначена як напрям транскордонної співпраці. Значна увага приділяється питанням охорони природної та культурної спадщини як ресурсів розвитку туризму (</w:t>
      </w:r>
      <w:proofErr w:type="spellStart"/>
      <w:r w:rsidRPr="00DC7C40">
        <w:rPr>
          <w:rFonts w:ascii="Book Antiqua" w:hAnsi="Book Antiqua"/>
          <w:sz w:val="26"/>
          <w:szCs w:val="26"/>
        </w:rPr>
        <w:t>Єврорегіони</w:t>
      </w:r>
      <w:proofErr w:type="spellEnd"/>
      <w:r w:rsidRPr="00DC7C40">
        <w:rPr>
          <w:rFonts w:ascii="Book Antiqua" w:hAnsi="Book Antiqua"/>
          <w:sz w:val="26"/>
          <w:szCs w:val="26"/>
        </w:rPr>
        <w:t xml:space="preserve"> Верхній Прут, Карпати, Буг). Для </w:t>
      </w:r>
      <w:r w:rsidRPr="00DC7C40">
        <w:rPr>
          <w:rFonts w:ascii="Book Antiqua" w:hAnsi="Book Antiqua"/>
          <w:sz w:val="26"/>
          <w:szCs w:val="26"/>
        </w:rPr>
        <w:lastRenderedPageBreak/>
        <w:t xml:space="preserve">усіх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важливим напрямом діяльності, що сприяє розвитку туризму, є покращення інфраструктури: шляхів сполучення, закладів розміщення та харчування. Актуальними є питання розбудови прикордонної інфраструктури, зокрема пунктів пропуску за спрощеним режимом, особливо в межах територій малого прикордонного руху. Для ряду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особливо західної частини України, актуальним напрямом є використання в організації туристичних послуг етнокультурних традицій. </w:t>
      </w:r>
    </w:p>
    <w:p w:rsidR="00DC7C40" w:rsidRPr="00DC7C40" w:rsidRDefault="00DC7C40" w:rsidP="00174982">
      <w:pPr>
        <w:spacing w:after="0" w:line="240" w:lineRule="auto"/>
        <w:ind w:firstLine="567"/>
        <w:rPr>
          <w:rFonts w:ascii="Book Antiqua" w:hAnsi="Book Antiqua"/>
          <w:sz w:val="26"/>
          <w:szCs w:val="26"/>
        </w:rPr>
      </w:pPr>
      <w:r w:rsidRPr="00DC7C40">
        <w:rPr>
          <w:rFonts w:ascii="Book Antiqua" w:hAnsi="Book Antiqua"/>
          <w:sz w:val="26"/>
          <w:szCs w:val="26"/>
        </w:rPr>
        <w:t xml:space="preserve">Нині розробляються Концепції стратегічного розвитку транскордонних регіонів, які включають загальноєвропейські, національні та регіональні пріоритети. Ці Концепції вибудовуються з урахуванням обласних стратегій соціально-економічного розвитку та Державної стратегії соціально-економічного розвитку. Не дивлячись на те, що інформація про </w:t>
      </w:r>
      <w:proofErr w:type="spellStart"/>
      <w:r w:rsidRPr="00DC7C40">
        <w:rPr>
          <w:rFonts w:ascii="Book Antiqua" w:hAnsi="Book Antiqua"/>
          <w:sz w:val="26"/>
          <w:szCs w:val="26"/>
        </w:rPr>
        <w:t>єврорегіони</w:t>
      </w:r>
      <w:proofErr w:type="spellEnd"/>
      <w:r w:rsidRPr="00DC7C40">
        <w:rPr>
          <w:rFonts w:ascii="Book Antiqua" w:hAnsi="Book Antiqua"/>
          <w:sz w:val="26"/>
          <w:szCs w:val="26"/>
        </w:rPr>
        <w:t xml:space="preserve"> України вже є на веб-сторінках окремих підрозділів обласних адміністрацій, повністю самостійних ще немає. Часто відсутня інформація про </w:t>
      </w:r>
      <w:proofErr w:type="spellStart"/>
      <w:r w:rsidRPr="00DC7C40">
        <w:rPr>
          <w:rFonts w:ascii="Book Antiqua" w:hAnsi="Book Antiqua"/>
          <w:sz w:val="26"/>
          <w:szCs w:val="26"/>
        </w:rPr>
        <w:t>єврорегіональну</w:t>
      </w:r>
      <w:proofErr w:type="spellEnd"/>
      <w:r w:rsidRPr="00DC7C40">
        <w:rPr>
          <w:rFonts w:ascii="Book Antiqua" w:hAnsi="Book Antiqua"/>
          <w:sz w:val="26"/>
          <w:szCs w:val="26"/>
        </w:rPr>
        <w:t xml:space="preserve"> співпрацю, програми допомоги, транскордонну статистику, матеріали про транскордонні проекти.</w:t>
      </w:r>
    </w:p>
    <w:p w:rsidR="00CF0C64" w:rsidRDefault="00CF0C64" w:rsidP="00174982">
      <w:pPr>
        <w:spacing w:after="0" w:line="240" w:lineRule="auto"/>
        <w:ind w:firstLine="567"/>
        <w:rPr>
          <w:rFonts w:ascii="Book Antiqua" w:hAnsi="Book Antiqua"/>
          <w:sz w:val="26"/>
          <w:szCs w:val="26"/>
        </w:rPr>
      </w:pPr>
      <w:r w:rsidRPr="00DC7C40">
        <w:rPr>
          <w:rFonts w:ascii="Book Antiqua" w:hAnsi="Book Antiqua"/>
          <w:sz w:val="26"/>
          <w:szCs w:val="26"/>
        </w:rPr>
        <w:t>Р</w:t>
      </w:r>
      <w:r w:rsidRPr="00DC7C40">
        <w:rPr>
          <w:rFonts w:ascii="Book Antiqua" w:hAnsi="Book Antiqua"/>
          <w:sz w:val="26"/>
          <w:szCs w:val="26"/>
        </w:rPr>
        <w:t xml:space="preserve">яд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України (Буг, Верхній Прут, Нижній Дунай та Карпатський) орієнтовані на підтримку розвитку інфраструктури транскордонного туризму як одного з найбільш ефективних шляхів використання унікального </w:t>
      </w:r>
      <w:proofErr w:type="spellStart"/>
      <w:r w:rsidRPr="00DC7C40">
        <w:rPr>
          <w:rFonts w:ascii="Book Antiqua" w:hAnsi="Book Antiqua"/>
          <w:sz w:val="26"/>
          <w:szCs w:val="26"/>
        </w:rPr>
        <w:t>ландшафтно</w:t>
      </w:r>
      <w:proofErr w:type="spellEnd"/>
      <w:r w:rsidRPr="00DC7C40">
        <w:rPr>
          <w:rFonts w:ascii="Book Antiqua" w:hAnsi="Book Antiqua"/>
          <w:sz w:val="26"/>
          <w:szCs w:val="26"/>
        </w:rPr>
        <w:t xml:space="preserve">-рекреаційного потенціалу регіону. Окремої уваги заслуговує розвиток фольклорного, культурно-етнічного, релігійного, сільського, екологічного туризму. Вагомим напрямом покращення рекреаційно-туристичної сфери є підвищення рівня зайнятості та швидкого залучення європейського досвіду та кредитів та найбільш сприятливого бізнесу для розвитку системи транскордонних транспортних сполучень. На території цих </w:t>
      </w:r>
      <w:proofErr w:type="spellStart"/>
      <w:r w:rsidRPr="00DC7C40">
        <w:rPr>
          <w:rFonts w:ascii="Book Antiqua" w:hAnsi="Book Antiqua"/>
          <w:sz w:val="26"/>
          <w:szCs w:val="26"/>
        </w:rPr>
        <w:t>єврорегіонів</w:t>
      </w:r>
      <w:proofErr w:type="spellEnd"/>
      <w:r w:rsidRPr="00DC7C40">
        <w:rPr>
          <w:rFonts w:ascii="Book Antiqua" w:hAnsi="Book Antiqua"/>
          <w:sz w:val="26"/>
          <w:szCs w:val="26"/>
        </w:rPr>
        <w:t xml:space="preserve"> сформувалися специфічні транскордонні рекреаційно-туристичні комплекси – територіальні утворення сусідніх держав чи їх частин на основі єдиних взаємодоповнюючих контрастних чи унікальних природних, історико-культурних, інфраструктурних та інших ресурсів дл</w:t>
      </w:r>
      <w:r w:rsidRPr="00DC7C40">
        <w:rPr>
          <w:rFonts w:ascii="Book Antiqua" w:hAnsi="Book Antiqua"/>
          <w:sz w:val="26"/>
          <w:szCs w:val="26"/>
        </w:rPr>
        <w:t xml:space="preserve">я розвитку міжнародного туризму </w:t>
      </w:r>
      <w:r w:rsidRPr="00DC7C40">
        <w:rPr>
          <w:rFonts w:ascii="Book Antiqua" w:hAnsi="Book Antiqua"/>
          <w:sz w:val="26"/>
          <w:szCs w:val="26"/>
          <w:lang w:val="en-US"/>
        </w:rPr>
        <w:t>[</w:t>
      </w:r>
      <w:r w:rsidR="00FD7B71">
        <w:rPr>
          <w:rFonts w:ascii="Book Antiqua" w:hAnsi="Book Antiqua"/>
          <w:sz w:val="26"/>
          <w:szCs w:val="26"/>
        </w:rPr>
        <w:t>2, с. 13</w:t>
      </w:r>
      <w:r w:rsidRPr="00DC7C40">
        <w:rPr>
          <w:rFonts w:ascii="Book Antiqua" w:hAnsi="Book Antiqua"/>
          <w:sz w:val="26"/>
          <w:szCs w:val="26"/>
          <w:lang w:val="en-US"/>
        </w:rPr>
        <w:t>]</w:t>
      </w:r>
      <w:r w:rsidRPr="00DC7C40">
        <w:rPr>
          <w:rFonts w:ascii="Book Antiqua" w:hAnsi="Book Antiqua"/>
          <w:sz w:val="26"/>
          <w:szCs w:val="26"/>
        </w:rPr>
        <w:t xml:space="preserve">. </w:t>
      </w:r>
    </w:p>
    <w:p w:rsidR="006E0A41" w:rsidRDefault="00D63298" w:rsidP="006E0A41">
      <w:pPr>
        <w:spacing w:after="0" w:line="240" w:lineRule="auto"/>
        <w:ind w:firstLine="567"/>
        <w:rPr>
          <w:rFonts w:ascii="Book Antiqua" w:hAnsi="Book Antiqua"/>
          <w:sz w:val="26"/>
          <w:szCs w:val="26"/>
        </w:rPr>
      </w:pPr>
      <w:r w:rsidRPr="00D63298">
        <w:rPr>
          <w:rFonts w:ascii="Book Antiqua" w:hAnsi="Book Antiqua"/>
          <w:sz w:val="26"/>
          <w:szCs w:val="26"/>
        </w:rPr>
        <w:t xml:space="preserve">На </w:t>
      </w:r>
      <w:r w:rsidRPr="00D63298">
        <w:rPr>
          <w:rFonts w:ascii="Book Antiqua" w:hAnsi="Book Antiqua"/>
          <w:sz w:val="26"/>
          <w:szCs w:val="26"/>
        </w:rPr>
        <w:t>розвиток транскордонного співробітництва</w:t>
      </w:r>
      <w:r w:rsidRPr="00D63298">
        <w:rPr>
          <w:rFonts w:ascii="Book Antiqua" w:hAnsi="Book Antiqua"/>
          <w:sz w:val="26"/>
          <w:szCs w:val="26"/>
        </w:rPr>
        <w:t xml:space="preserve"> в галузі туризму </w:t>
      </w:r>
      <w:r w:rsidRPr="00D63298">
        <w:rPr>
          <w:rFonts w:ascii="Book Antiqua" w:hAnsi="Book Antiqua"/>
          <w:sz w:val="26"/>
          <w:szCs w:val="26"/>
        </w:rPr>
        <w:t>негативно вплива</w:t>
      </w:r>
      <w:r w:rsidRPr="00D63298">
        <w:rPr>
          <w:rFonts w:ascii="Book Antiqua" w:hAnsi="Book Antiqua"/>
          <w:sz w:val="26"/>
          <w:szCs w:val="26"/>
        </w:rPr>
        <w:t>є ряд</w:t>
      </w:r>
      <w:r w:rsidRPr="00D63298">
        <w:rPr>
          <w:rFonts w:ascii="Book Antiqua" w:hAnsi="Book Antiqua"/>
          <w:sz w:val="26"/>
          <w:szCs w:val="26"/>
        </w:rPr>
        <w:t xml:space="preserve"> чинник</w:t>
      </w:r>
      <w:r w:rsidRPr="00D63298">
        <w:rPr>
          <w:rFonts w:ascii="Book Antiqua" w:hAnsi="Book Antiqua"/>
          <w:sz w:val="26"/>
          <w:szCs w:val="26"/>
        </w:rPr>
        <w:t>ів</w:t>
      </w:r>
      <w:r w:rsidRPr="00D63298">
        <w:rPr>
          <w:rFonts w:ascii="Book Antiqua" w:hAnsi="Book Antiqua"/>
          <w:sz w:val="26"/>
          <w:szCs w:val="26"/>
        </w:rPr>
        <w:t>, зокрема:</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низький рівень розвитку прикордонної транспортної інфраструктури, зокрема автомобільних доріг до пунктів пропуску через державний кордон, мостів та поромних переправ;</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повільні темпи впровадження сучасних методів контролю в пунктах пропуску через державний кордон;</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законодавчі та інституційні обмеження щодо розвитку малого та середнього бізнесу у прикордонних регіонах України;</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відсутність спільної з іншими державами системи попередження про стихійні лиха та захисту від надзвичайних ситуацій, а також раціонального використання природних ресурсів;</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lastRenderedPageBreak/>
        <w:t>низький рівень використання туристичного потенціалу прикордонних регіонів та культурної спадщини;</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відмінність правил та процедур підготовки та фінансування проектів транскордонного співробітництва;</w:t>
      </w:r>
    </w:p>
    <w:p w:rsidR="006E0A41"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низька активність учасників транскордонного співробітництва на рівні районів та територіальних громад;</w:t>
      </w:r>
    </w:p>
    <w:p w:rsidR="00D63298" w:rsidRPr="006E0A41" w:rsidRDefault="00D63298" w:rsidP="006E0A41">
      <w:pPr>
        <w:pStyle w:val="a4"/>
        <w:numPr>
          <w:ilvl w:val="0"/>
          <w:numId w:val="2"/>
        </w:numPr>
        <w:spacing w:after="0" w:line="240" w:lineRule="auto"/>
        <w:ind w:left="0" w:firstLine="357"/>
        <w:rPr>
          <w:rFonts w:ascii="Book Antiqua" w:hAnsi="Book Antiqua"/>
          <w:sz w:val="26"/>
          <w:szCs w:val="26"/>
        </w:rPr>
      </w:pPr>
      <w:r w:rsidRPr="006E0A41">
        <w:rPr>
          <w:rFonts w:ascii="Book Antiqua" w:hAnsi="Book Antiqua"/>
          <w:sz w:val="26"/>
          <w:szCs w:val="26"/>
        </w:rPr>
        <w:t>недостатній обсяг донорської підтримки проектів транскордонного співробітництва у східних та центральних регіонах України, що створює нерівні умови та призводить до низького рівня обізнаності щодо розвитку транскордонного співробітництва.</w:t>
      </w:r>
    </w:p>
    <w:p w:rsidR="005F1570" w:rsidRPr="00513379" w:rsidRDefault="005F1570" w:rsidP="006E0A41">
      <w:pPr>
        <w:spacing w:after="0" w:line="240" w:lineRule="auto"/>
        <w:ind w:firstLine="567"/>
        <w:rPr>
          <w:rFonts w:ascii="Book Antiqua" w:hAnsi="Book Antiqua"/>
          <w:sz w:val="26"/>
          <w:szCs w:val="26"/>
        </w:rPr>
      </w:pPr>
      <w:bookmarkStart w:id="0" w:name="_GoBack"/>
      <w:bookmarkEnd w:id="0"/>
      <w:r w:rsidRPr="005F1570">
        <w:rPr>
          <w:rFonts w:ascii="Book Antiqua" w:hAnsi="Book Antiqua"/>
          <w:sz w:val="26"/>
          <w:szCs w:val="26"/>
        </w:rPr>
        <w:t>Збереженню та розвитку туристичної індустрії</w:t>
      </w:r>
      <w:r w:rsidR="00240B2A">
        <w:rPr>
          <w:rFonts w:ascii="Book Antiqua" w:hAnsi="Book Antiqua"/>
          <w:sz w:val="26"/>
          <w:szCs w:val="26"/>
        </w:rPr>
        <w:t xml:space="preserve"> </w:t>
      </w:r>
      <w:r w:rsidRPr="005F1570">
        <w:rPr>
          <w:rFonts w:ascii="Book Antiqua" w:hAnsi="Book Antiqua"/>
          <w:sz w:val="26"/>
          <w:szCs w:val="26"/>
        </w:rPr>
        <w:t>сприяють проекти з охорони навколишнього</w:t>
      </w:r>
      <w:r w:rsidR="00240B2A">
        <w:rPr>
          <w:rFonts w:ascii="Book Antiqua" w:hAnsi="Book Antiqua"/>
          <w:sz w:val="26"/>
          <w:szCs w:val="26"/>
        </w:rPr>
        <w:t xml:space="preserve"> </w:t>
      </w:r>
      <w:r w:rsidRPr="005F1570">
        <w:rPr>
          <w:rFonts w:ascii="Book Antiqua" w:hAnsi="Book Antiqua"/>
          <w:sz w:val="26"/>
          <w:szCs w:val="26"/>
        </w:rPr>
        <w:t xml:space="preserve">середовища і попередження екологічних катастроф, що реалізовуються в </w:t>
      </w:r>
      <w:proofErr w:type="spellStart"/>
      <w:r w:rsidRPr="005F1570">
        <w:rPr>
          <w:rFonts w:ascii="Book Antiqua" w:hAnsi="Book Antiqua"/>
          <w:sz w:val="26"/>
          <w:szCs w:val="26"/>
        </w:rPr>
        <w:t>єврорегіонах</w:t>
      </w:r>
      <w:proofErr w:type="spellEnd"/>
      <w:r w:rsidRPr="005F1570">
        <w:rPr>
          <w:rFonts w:ascii="Book Antiqua" w:hAnsi="Book Antiqua"/>
          <w:sz w:val="26"/>
          <w:szCs w:val="26"/>
        </w:rPr>
        <w:t xml:space="preserve"> Нижній</w:t>
      </w:r>
      <w:r w:rsidR="00240B2A">
        <w:rPr>
          <w:rFonts w:ascii="Book Antiqua" w:hAnsi="Book Antiqua"/>
          <w:sz w:val="26"/>
          <w:szCs w:val="26"/>
        </w:rPr>
        <w:t xml:space="preserve"> </w:t>
      </w:r>
      <w:r w:rsidRPr="005F1570">
        <w:rPr>
          <w:rFonts w:ascii="Book Antiqua" w:hAnsi="Book Antiqua"/>
          <w:sz w:val="26"/>
          <w:szCs w:val="26"/>
        </w:rPr>
        <w:t>Дунай, Буг, Карпати, Верхній Прут, Дністер.</w:t>
      </w:r>
      <w:r w:rsidR="00240B2A">
        <w:rPr>
          <w:rFonts w:ascii="Book Antiqua" w:hAnsi="Book Antiqua"/>
          <w:sz w:val="26"/>
          <w:szCs w:val="26"/>
        </w:rPr>
        <w:t xml:space="preserve"> </w:t>
      </w:r>
      <w:r w:rsidRPr="005F1570">
        <w:rPr>
          <w:rFonts w:ascii="Book Antiqua" w:hAnsi="Book Antiqua"/>
          <w:sz w:val="26"/>
          <w:szCs w:val="26"/>
        </w:rPr>
        <w:t>У програмах розвитку туризму більшості</w:t>
      </w:r>
      <w:r w:rsidR="00240B2A">
        <w:rPr>
          <w:rFonts w:ascii="Book Antiqua" w:hAnsi="Book Antiqua"/>
          <w:sz w:val="26"/>
          <w:szCs w:val="26"/>
        </w:rPr>
        <w:t xml:space="preserve">  </w:t>
      </w:r>
      <w:proofErr w:type="spellStart"/>
      <w:r w:rsidRPr="005F1570">
        <w:rPr>
          <w:rFonts w:ascii="Book Antiqua" w:hAnsi="Book Antiqua"/>
          <w:sz w:val="26"/>
          <w:szCs w:val="26"/>
        </w:rPr>
        <w:t>єврорегіонів</w:t>
      </w:r>
      <w:proofErr w:type="spellEnd"/>
      <w:r w:rsidRPr="005F1570">
        <w:rPr>
          <w:rFonts w:ascii="Book Antiqua" w:hAnsi="Book Antiqua"/>
          <w:sz w:val="26"/>
          <w:szCs w:val="26"/>
        </w:rPr>
        <w:t xml:space="preserve"> прописані розробка якісного туристського продукту з урахуванням потреб охорони</w:t>
      </w:r>
      <w:r w:rsidR="00240B2A">
        <w:rPr>
          <w:rFonts w:ascii="Book Antiqua" w:hAnsi="Book Antiqua"/>
          <w:sz w:val="26"/>
          <w:szCs w:val="26"/>
        </w:rPr>
        <w:t xml:space="preserve"> </w:t>
      </w:r>
      <w:r w:rsidRPr="005F1570">
        <w:rPr>
          <w:rFonts w:ascii="Book Antiqua" w:hAnsi="Book Antiqua"/>
          <w:sz w:val="26"/>
          <w:szCs w:val="26"/>
        </w:rPr>
        <w:t>природної та культурної спадщини, хоча в деяких</w:t>
      </w:r>
      <w:r w:rsidR="00240B2A">
        <w:rPr>
          <w:rFonts w:ascii="Book Antiqua" w:hAnsi="Book Antiqua"/>
          <w:sz w:val="26"/>
          <w:szCs w:val="26"/>
        </w:rPr>
        <w:t xml:space="preserve"> </w:t>
      </w:r>
      <w:r w:rsidRPr="005F1570">
        <w:rPr>
          <w:rFonts w:ascii="Book Antiqua" w:hAnsi="Book Antiqua"/>
          <w:sz w:val="26"/>
          <w:szCs w:val="26"/>
        </w:rPr>
        <w:t>з них (Нижній Дунай, Слобожанщина, Ярославна,</w:t>
      </w:r>
      <w:r w:rsidR="00240B2A">
        <w:rPr>
          <w:rFonts w:ascii="Book Antiqua" w:hAnsi="Book Antiqua"/>
          <w:sz w:val="26"/>
          <w:szCs w:val="26"/>
        </w:rPr>
        <w:t xml:space="preserve"> </w:t>
      </w:r>
      <w:r w:rsidRPr="005F1570">
        <w:rPr>
          <w:rFonts w:ascii="Book Antiqua" w:hAnsi="Book Antiqua"/>
          <w:sz w:val="26"/>
          <w:szCs w:val="26"/>
        </w:rPr>
        <w:t>Дніпро) туризм або відсутній як стратегічний</w:t>
      </w:r>
      <w:r w:rsidR="00240B2A">
        <w:rPr>
          <w:rFonts w:ascii="Book Antiqua" w:hAnsi="Book Antiqua"/>
          <w:sz w:val="26"/>
          <w:szCs w:val="26"/>
        </w:rPr>
        <w:t xml:space="preserve"> </w:t>
      </w:r>
      <w:r w:rsidRPr="005F1570">
        <w:rPr>
          <w:rFonts w:ascii="Book Antiqua" w:hAnsi="Book Antiqua"/>
          <w:sz w:val="26"/>
          <w:szCs w:val="26"/>
        </w:rPr>
        <w:t>напрям, або окреслений дуже загально. Головними завданнями розробники стратегій визначили</w:t>
      </w:r>
      <w:r w:rsidR="00240B2A">
        <w:rPr>
          <w:rFonts w:ascii="Book Antiqua" w:hAnsi="Book Antiqua"/>
          <w:sz w:val="26"/>
          <w:szCs w:val="26"/>
        </w:rPr>
        <w:t xml:space="preserve"> </w:t>
      </w:r>
      <w:r w:rsidRPr="005F1570">
        <w:rPr>
          <w:rFonts w:ascii="Book Antiqua" w:hAnsi="Book Antiqua"/>
          <w:sz w:val="26"/>
          <w:szCs w:val="26"/>
        </w:rPr>
        <w:t>тут розвиток малого та середнього бізнесу на</w:t>
      </w:r>
      <w:r w:rsidR="00240B2A">
        <w:rPr>
          <w:rFonts w:ascii="Book Antiqua" w:hAnsi="Book Antiqua"/>
          <w:sz w:val="26"/>
          <w:szCs w:val="26"/>
        </w:rPr>
        <w:t xml:space="preserve"> </w:t>
      </w:r>
      <w:r w:rsidRPr="005F1570">
        <w:rPr>
          <w:rFonts w:ascii="Book Antiqua" w:hAnsi="Book Antiqua"/>
          <w:sz w:val="26"/>
          <w:szCs w:val="26"/>
        </w:rPr>
        <w:t>транскордонних територіях, залучення до регіонів</w:t>
      </w:r>
      <w:r w:rsidR="00240B2A">
        <w:rPr>
          <w:rFonts w:ascii="Book Antiqua" w:hAnsi="Book Antiqua"/>
          <w:sz w:val="26"/>
          <w:szCs w:val="26"/>
        </w:rPr>
        <w:t xml:space="preserve"> </w:t>
      </w:r>
      <w:r w:rsidRPr="005F1570">
        <w:rPr>
          <w:rFonts w:ascii="Book Antiqua" w:hAnsi="Book Antiqua"/>
          <w:sz w:val="26"/>
          <w:szCs w:val="26"/>
        </w:rPr>
        <w:t>міжнародних туристичних потоків</w:t>
      </w:r>
      <w:r w:rsidR="00240B2A">
        <w:rPr>
          <w:rFonts w:ascii="Book Antiqua" w:hAnsi="Book Antiqua"/>
          <w:sz w:val="26"/>
          <w:szCs w:val="26"/>
        </w:rPr>
        <w:t xml:space="preserve"> </w:t>
      </w:r>
      <w:r w:rsidR="00240B2A">
        <w:rPr>
          <w:rFonts w:ascii="Book Antiqua" w:hAnsi="Book Antiqua"/>
          <w:sz w:val="26"/>
          <w:szCs w:val="26"/>
          <w:lang w:val="en-US"/>
        </w:rPr>
        <w:t>[</w:t>
      </w:r>
      <w:r w:rsidR="00240B2A">
        <w:rPr>
          <w:rFonts w:ascii="Book Antiqua" w:hAnsi="Book Antiqua"/>
          <w:sz w:val="26"/>
          <w:szCs w:val="26"/>
        </w:rPr>
        <w:t>1, с. 110</w:t>
      </w:r>
      <w:r w:rsidR="00240B2A">
        <w:rPr>
          <w:rFonts w:ascii="Book Antiqua" w:hAnsi="Book Antiqua"/>
          <w:sz w:val="26"/>
          <w:szCs w:val="26"/>
          <w:lang w:val="en-US"/>
        </w:rPr>
        <w:t>]</w:t>
      </w:r>
      <w:r w:rsidRPr="005F1570">
        <w:rPr>
          <w:rFonts w:ascii="Book Antiqua" w:hAnsi="Book Antiqua"/>
          <w:sz w:val="26"/>
          <w:szCs w:val="26"/>
        </w:rPr>
        <w:t>.</w:t>
      </w:r>
      <w:r w:rsidR="00513379">
        <w:rPr>
          <w:rFonts w:ascii="Book Antiqua" w:hAnsi="Book Antiqua"/>
          <w:sz w:val="26"/>
          <w:szCs w:val="26"/>
        </w:rPr>
        <w:t xml:space="preserve"> </w:t>
      </w:r>
      <w:r w:rsidR="00513379" w:rsidRPr="00513379">
        <w:rPr>
          <w:rFonts w:ascii="Book Antiqua" w:hAnsi="Book Antiqua"/>
          <w:sz w:val="26"/>
          <w:szCs w:val="26"/>
        </w:rPr>
        <w:t>Т</w:t>
      </w:r>
      <w:r w:rsidR="00513379" w:rsidRPr="00513379">
        <w:rPr>
          <w:rFonts w:ascii="Book Antiqua" w:hAnsi="Book Antiqua"/>
          <w:sz w:val="26"/>
          <w:szCs w:val="26"/>
        </w:rPr>
        <w:t>ранскордонні процеси</w:t>
      </w:r>
      <w:r w:rsidR="00513379" w:rsidRPr="00513379">
        <w:rPr>
          <w:rFonts w:ascii="Book Antiqua" w:hAnsi="Book Antiqua"/>
          <w:b/>
          <w:sz w:val="26"/>
          <w:szCs w:val="26"/>
        </w:rPr>
        <w:t xml:space="preserve">  </w:t>
      </w:r>
      <w:r w:rsidR="00513379" w:rsidRPr="00513379">
        <w:rPr>
          <w:rFonts w:ascii="Book Antiqua" w:hAnsi="Book Antiqua"/>
          <w:sz w:val="26"/>
          <w:szCs w:val="26"/>
        </w:rPr>
        <w:t>у галузі туризму   є результатом співпраці прикордонних регіонів сусідніх держав та впливу цієї співпраці</w:t>
      </w:r>
      <w:r w:rsidR="00513379" w:rsidRPr="00513379">
        <w:rPr>
          <w:rFonts w:ascii="Book Antiqua" w:hAnsi="Book Antiqua"/>
          <w:b/>
          <w:sz w:val="26"/>
          <w:szCs w:val="26"/>
        </w:rPr>
        <w:t xml:space="preserve">  </w:t>
      </w:r>
      <w:r w:rsidR="00513379" w:rsidRPr="00513379">
        <w:rPr>
          <w:rFonts w:ascii="Book Antiqua" w:hAnsi="Book Antiqua"/>
          <w:sz w:val="26"/>
          <w:szCs w:val="26"/>
        </w:rPr>
        <w:t>на їх соціально-економічний розвиток.</w:t>
      </w:r>
    </w:p>
    <w:p w:rsidR="005F1570" w:rsidRPr="005F1570" w:rsidRDefault="005F1570" w:rsidP="00240B2A">
      <w:pPr>
        <w:spacing w:after="0" w:line="240" w:lineRule="auto"/>
        <w:ind w:firstLine="567"/>
        <w:rPr>
          <w:rFonts w:ascii="Book Antiqua" w:hAnsi="Book Antiqua"/>
          <w:sz w:val="26"/>
          <w:szCs w:val="26"/>
        </w:rPr>
      </w:pPr>
      <w:r w:rsidRPr="005F1570">
        <w:rPr>
          <w:rFonts w:ascii="Book Antiqua" w:hAnsi="Book Antiqua"/>
          <w:sz w:val="26"/>
          <w:szCs w:val="26"/>
        </w:rPr>
        <w:t xml:space="preserve">Актуальним завданням ряду </w:t>
      </w:r>
      <w:proofErr w:type="spellStart"/>
      <w:r w:rsidRPr="005F1570">
        <w:rPr>
          <w:rFonts w:ascii="Book Antiqua" w:hAnsi="Book Antiqua"/>
          <w:sz w:val="26"/>
          <w:szCs w:val="26"/>
        </w:rPr>
        <w:t>єврорегіонів</w:t>
      </w:r>
      <w:proofErr w:type="spellEnd"/>
      <w:r w:rsidRPr="005F1570">
        <w:rPr>
          <w:rFonts w:ascii="Book Antiqua" w:hAnsi="Book Antiqua"/>
          <w:sz w:val="26"/>
          <w:szCs w:val="26"/>
        </w:rPr>
        <w:t xml:space="preserve"> є</w:t>
      </w:r>
      <w:r w:rsidR="00240B2A">
        <w:rPr>
          <w:rFonts w:ascii="Book Antiqua" w:hAnsi="Book Antiqua"/>
          <w:sz w:val="26"/>
          <w:szCs w:val="26"/>
        </w:rPr>
        <w:t xml:space="preserve"> </w:t>
      </w:r>
      <w:r w:rsidRPr="005F1570">
        <w:rPr>
          <w:rFonts w:ascii="Book Antiqua" w:hAnsi="Book Antiqua"/>
          <w:sz w:val="26"/>
          <w:szCs w:val="26"/>
        </w:rPr>
        <w:t>покращення інформаційної доступності туристичного продукту та його промоції, що вирішується</w:t>
      </w:r>
      <w:r w:rsidR="00240B2A">
        <w:rPr>
          <w:rFonts w:ascii="Book Antiqua" w:hAnsi="Book Antiqua"/>
          <w:sz w:val="26"/>
          <w:szCs w:val="26"/>
        </w:rPr>
        <w:t xml:space="preserve"> </w:t>
      </w:r>
      <w:r w:rsidRPr="005F1570">
        <w:rPr>
          <w:rFonts w:ascii="Book Antiqua" w:hAnsi="Book Antiqua"/>
          <w:sz w:val="26"/>
          <w:szCs w:val="26"/>
        </w:rPr>
        <w:t>через впровадженн</w:t>
      </w:r>
      <w:r w:rsidR="00240B2A">
        <w:rPr>
          <w:rFonts w:ascii="Book Antiqua" w:hAnsi="Book Antiqua"/>
          <w:sz w:val="26"/>
          <w:szCs w:val="26"/>
        </w:rPr>
        <w:t xml:space="preserve">я ряду транскордонних проектів. </w:t>
      </w:r>
      <w:r w:rsidRPr="005F1570">
        <w:rPr>
          <w:rFonts w:ascii="Book Antiqua" w:hAnsi="Book Antiqua"/>
          <w:sz w:val="26"/>
          <w:szCs w:val="26"/>
        </w:rPr>
        <w:t>Цілі досягаються шляхом створення баз даних</w:t>
      </w:r>
      <w:r w:rsidR="00240B2A">
        <w:rPr>
          <w:rFonts w:ascii="Book Antiqua" w:hAnsi="Book Antiqua"/>
          <w:sz w:val="26"/>
          <w:szCs w:val="26"/>
        </w:rPr>
        <w:t xml:space="preserve"> </w:t>
      </w:r>
      <w:r w:rsidRPr="005F1570">
        <w:rPr>
          <w:rFonts w:ascii="Book Antiqua" w:hAnsi="Book Antiqua"/>
          <w:sz w:val="26"/>
          <w:szCs w:val="26"/>
        </w:rPr>
        <w:t>туристичних ресурсів, пунктів та центрів туристичної інформації, розробки сайтів, картосхем,</w:t>
      </w:r>
      <w:r w:rsidR="00240B2A">
        <w:rPr>
          <w:rFonts w:ascii="Book Antiqua" w:hAnsi="Book Antiqua"/>
          <w:sz w:val="26"/>
          <w:szCs w:val="26"/>
        </w:rPr>
        <w:t xml:space="preserve"> путівників, буклетів. </w:t>
      </w:r>
      <w:r w:rsidRPr="005F1570">
        <w:rPr>
          <w:rFonts w:ascii="Book Antiqua" w:hAnsi="Book Antiqua"/>
          <w:sz w:val="26"/>
          <w:szCs w:val="26"/>
        </w:rPr>
        <w:t>Серед стратегічних цілей та завдань свого</w:t>
      </w:r>
      <w:r w:rsidR="00240B2A">
        <w:rPr>
          <w:rFonts w:ascii="Book Antiqua" w:hAnsi="Book Antiqua"/>
          <w:sz w:val="26"/>
          <w:szCs w:val="26"/>
        </w:rPr>
        <w:t xml:space="preserve"> </w:t>
      </w:r>
      <w:r w:rsidRPr="005F1570">
        <w:rPr>
          <w:rFonts w:ascii="Book Antiqua" w:hAnsi="Book Antiqua"/>
          <w:sz w:val="26"/>
          <w:szCs w:val="26"/>
        </w:rPr>
        <w:t>часу недостатньо уваги було приділено туризму</w:t>
      </w:r>
      <w:r w:rsidR="00240B2A">
        <w:rPr>
          <w:rFonts w:ascii="Book Antiqua" w:hAnsi="Book Antiqua"/>
          <w:sz w:val="26"/>
          <w:szCs w:val="26"/>
        </w:rPr>
        <w:t xml:space="preserve"> </w:t>
      </w:r>
      <w:r w:rsidRPr="005F1570">
        <w:rPr>
          <w:rFonts w:ascii="Book Antiqua" w:hAnsi="Book Antiqua"/>
          <w:sz w:val="26"/>
          <w:szCs w:val="26"/>
        </w:rPr>
        <w:t xml:space="preserve">в </w:t>
      </w:r>
      <w:proofErr w:type="spellStart"/>
      <w:r w:rsidRPr="005F1570">
        <w:rPr>
          <w:rFonts w:ascii="Book Antiqua" w:hAnsi="Book Antiqua"/>
          <w:sz w:val="26"/>
          <w:szCs w:val="26"/>
        </w:rPr>
        <w:t>єврорегіонах</w:t>
      </w:r>
      <w:proofErr w:type="spellEnd"/>
      <w:r w:rsidRPr="005F1570">
        <w:rPr>
          <w:rFonts w:ascii="Book Antiqua" w:hAnsi="Book Antiqua"/>
          <w:sz w:val="26"/>
          <w:szCs w:val="26"/>
        </w:rPr>
        <w:t xml:space="preserve"> Слобожанщина, Ярославна, Дніпро,</w:t>
      </w:r>
      <w:r w:rsidR="00240B2A">
        <w:rPr>
          <w:rFonts w:ascii="Book Antiqua" w:hAnsi="Book Antiqua"/>
          <w:sz w:val="26"/>
          <w:szCs w:val="26"/>
        </w:rPr>
        <w:t xml:space="preserve"> </w:t>
      </w:r>
      <w:r w:rsidRPr="005F1570">
        <w:rPr>
          <w:rFonts w:ascii="Book Antiqua" w:hAnsi="Book Antiqua"/>
          <w:sz w:val="26"/>
          <w:szCs w:val="26"/>
        </w:rPr>
        <w:t>Донбас. З огляду на надскладну військово</w:t>
      </w:r>
      <w:r w:rsidR="00240B2A">
        <w:rPr>
          <w:rFonts w:ascii="Book Antiqua" w:hAnsi="Book Antiqua"/>
          <w:sz w:val="26"/>
          <w:szCs w:val="26"/>
        </w:rPr>
        <w:t>-</w:t>
      </w:r>
      <w:r w:rsidRPr="005F1570">
        <w:rPr>
          <w:rFonts w:ascii="Book Antiqua" w:hAnsi="Book Antiqua"/>
          <w:sz w:val="26"/>
          <w:szCs w:val="26"/>
        </w:rPr>
        <w:t xml:space="preserve">політичну ситуацію сьогодення, в цих </w:t>
      </w:r>
      <w:proofErr w:type="spellStart"/>
      <w:r w:rsidRPr="005F1570">
        <w:rPr>
          <w:rFonts w:ascii="Book Antiqua" w:hAnsi="Book Antiqua"/>
          <w:sz w:val="26"/>
          <w:szCs w:val="26"/>
        </w:rPr>
        <w:t>єврорегіонах</w:t>
      </w:r>
      <w:proofErr w:type="spellEnd"/>
      <w:r w:rsidRPr="005F1570">
        <w:rPr>
          <w:rFonts w:ascii="Book Antiqua" w:hAnsi="Book Antiqua"/>
          <w:sz w:val="26"/>
          <w:szCs w:val="26"/>
        </w:rPr>
        <w:t>,</w:t>
      </w:r>
      <w:r w:rsidR="00240B2A">
        <w:rPr>
          <w:rFonts w:ascii="Book Antiqua" w:hAnsi="Book Antiqua"/>
          <w:sz w:val="26"/>
          <w:szCs w:val="26"/>
        </w:rPr>
        <w:t xml:space="preserve"> </w:t>
      </w:r>
      <w:r w:rsidRPr="005F1570">
        <w:rPr>
          <w:rFonts w:ascii="Book Antiqua" w:hAnsi="Book Antiqua"/>
          <w:sz w:val="26"/>
          <w:szCs w:val="26"/>
        </w:rPr>
        <w:t>а також у Чорноморському, транскордонні проекти</w:t>
      </w:r>
      <w:r w:rsidR="00240B2A">
        <w:rPr>
          <w:rFonts w:ascii="Book Antiqua" w:hAnsi="Book Antiqua"/>
          <w:sz w:val="26"/>
          <w:szCs w:val="26"/>
        </w:rPr>
        <w:t xml:space="preserve"> </w:t>
      </w:r>
      <w:r w:rsidRPr="005F1570">
        <w:rPr>
          <w:rFonts w:ascii="Book Antiqua" w:hAnsi="Book Antiqua"/>
          <w:sz w:val="26"/>
          <w:szCs w:val="26"/>
        </w:rPr>
        <w:t>призупинилися.</w:t>
      </w:r>
    </w:p>
    <w:p w:rsidR="00F203B3" w:rsidRPr="00D63298" w:rsidRDefault="00F203B3" w:rsidP="00D63298">
      <w:pPr>
        <w:spacing w:after="0" w:line="240" w:lineRule="auto"/>
        <w:ind w:firstLine="567"/>
        <w:rPr>
          <w:rFonts w:ascii="Book Antiqua" w:hAnsi="Book Antiqua"/>
          <w:sz w:val="26"/>
          <w:szCs w:val="26"/>
        </w:rPr>
      </w:pPr>
    </w:p>
    <w:p w:rsidR="00074DF1" w:rsidRPr="00513379" w:rsidRDefault="00074DF1" w:rsidP="008523A2">
      <w:pPr>
        <w:spacing w:after="0" w:line="240" w:lineRule="auto"/>
        <w:ind w:firstLine="567"/>
        <w:jc w:val="center"/>
        <w:rPr>
          <w:rFonts w:ascii="Book Antiqua" w:hAnsi="Book Antiqua"/>
          <w:sz w:val="26"/>
          <w:szCs w:val="26"/>
        </w:rPr>
      </w:pPr>
      <w:r w:rsidRPr="00513379">
        <w:rPr>
          <w:rFonts w:ascii="Book Antiqua" w:hAnsi="Book Antiqua"/>
          <w:sz w:val="26"/>
          <w:szCs w:val="26"/>
        </w:rPr>
        <w:t>Бібліографічний список:</w:t>
      </w:r>
    </w:p>
    <w:p w:rsidR="00DF7438" w:rsidRPr="00513379" w:rsidRDefault="00DF7438" w:rsidP="00513379">
      <w:pPr>
        <w:pStyle w:val="a4"/>
        <w:numPr>
          <w:ilvl w:val="0"/>
          <w:numId w:val="1"/>
        </w:numPr>
        <w:spacing w:after="0" w:line="240" w:lineRule="auto"/>
        <w:ind w:left="0" w:firstLine="567"/>
        <w:rPr>
          <w:rFonts w:ascii="Book Antiqua" w:hAnsi="Book Antiqua"/>
          <w:color w:val="444444"/>
          <w:sz w:val="26"/>
          <w:szCs w:val="26"/>
          <w:shd w:val="clear" w:color="auto" w:fill="FFFFFF"/>
        </w:rPr>
      </w:pPr>
      <w:r w:rsidRPr="00513379">
        <w:rPr>
          <w:rFonts w:ascii="Book Antiqua" w:hAnsi="Book Antiqua"/>
          <w:sz w:val="26"/>
          <w:szCs w:val="26"/>
          <w:lang w:val="ru-RU"/>
        </w:rPr>
        <w:t xml:space="preserve">Бучко Ж. </w:t>
      </w:r>
      <w:r w:rsidRPr="00513379">
        <w:rPr>
          <w:rFonts w:ascii="Book Antiqua" w:hAnsi="Book Antiqua"/>
          <w:sz w:val="26"/>
          <w:szCs w:val="26"/>
        </w:rPr>
        <w:t>Транскордонний туризм у контексті євроінтеграції України</w:t>
      </w:r>
      <w:r w:rsidR="00FD7B71" w:rsidRPr="00513379">
        <w:rPr>
          <w:rFonts w:ascii="Book Antiqua" w:hAnsi="Book Antiqua"/>
          <w:sz w:val="26"/>
          <w:szCs w:val="26"/>
          <w:lang w:val="ru-RU"/>
        </w:rPr>
        <w:t xml:space="preserve">. </w:t>
      </w:r>
      <w:r w:rsidRPr="00513379">
        <w:rPr>
          <w:rFonts w:ascii="Book Antiqua" w:hAnsi="Book Antiqua"/>
          <w:i/>
          <w:sz w:val="26"/>
          <w:szCs w:val="26"/>
        </w:rPr>
        <w:t>Науковий вісник Чернівец</w:t>
      </w:r>
      <w:r w:rsidRPr="00513379">
        <w:rPr>
          <w:rFonts w:ascii="Book Antiqua" w:hAnsi="Book Antiqua"/>
          <w:i/>
          <w:sz w:val="26"/>
          <w:szCs w:val="26"/>
        </w:rPr>
        <w:t>ь</w:t>
      </w:r>
      <w:r w:rsidRPr="00513379">
        <w:rPr>
          <w:rFonts w:ascii="Book Antiqua" w:hAnsi="Book Antiqua"/>
          <w:i/>
          <w:sz w:val="26"/>
          <w:szCs w:val="26"/>
        </w:rPr>
        <w:t>кого університету: збірник наукових праць</w:t>
      </w:r>
      <w:r w:rsidRPr="00513379">
        <w:rPr>
          <w:rFonts w:ascii="Book Antiqua" w:hAnsi="Book Antiqua"/>
          <w:sz w:val="26"/>
          <w:szCs w:val="26"/>
        </w:rPr>
        <w:t>. 20</w:t>
      </w:r>
      <w:r w:rsidRPr="00513379">
        <w:rPr>
          <w:rFonts w:ascii="Book Antiqua" w:hAnsi="Book Antiqua"/>
          <w:sz w:val="26"/>
          <w:szCs w:val="26"/>
          <w:lang w:val="en-US"/>
        </w:rPr>
        <w:t>15</w:t>
      </w:r>
      <w:r w:rsidRPr="00513379">
        <w:rPr>
          <w:rFonts w:ascii="Book Antiqua" w:hAnsi="Book Antiqua"/>
          <w:sz w:val="26"/>
          <w:szCs w:val="26"/>
        </w:rPr>
        <w:t xml:space="preserve">.  </w:t>
      </w:r>
      <w:proofErr w:type="spellStart"/>
      <w:r w:rsidRPr="00513379">
        <w:rPr>
          <w:rFonts w:ascii="Book Antiqua" w:hAnsi="Book Antiqua"/>
          <w:sz w:val="26"/>
          <w:szCs w:val="26"/>
        </w:rPr>
        <w:t>Вип</w:t>
      </w:r>
      <w:proofErr w:type="spellEnd"/>
      <w:r w:rsidRPr="00513379">
        <w:rPr>
          <w:rFonts w:ascii="Book Antiqua" w:hAnsi="Book Antiqua"/>
          <w:sz w:val="26"/>
          <w:szCs w:val="26"/>
        </w:rPr>
        <w:t>. 744-745</w:t>
      </w:r>
      <w:r w:rsidR="008523A2" w:rsidRPr="00513379">
        <w:rPr>
          <w:rFonts w:ascii="Book Antiqua" w:hAnsi="Book Antiqua"/>
          <w:sz w:val="26"/>
          <w:szCs w:val="26"/>
        </w:rPr>
        <w:t xml:space="preserve"> </w:t>
      </w:r>
      <w:r w:rsidRPr="00513379">
        <w:rPr>
          <w:rFonts w:ascii="Book Antiqua" w:hAnsi="Book Antiqua"/>
          <w:sz w:val="26"/>
          <w:szCs w:val="26"/>
        </w:rPr>
        <w:t>: Ге</w:t>
      </w:r>
      <w:r w:rsidRPr="00513379">
        <w:rPr>
          <w:rFonts w:ascii="Book Antiqua" w:hAnsi="Book Antiqua"/>
          <w:sz w:val="26"/>
          <w:szCs w:val="26"/>
        </w:rPr>
        <w:t>о</w:t>
      </w:r>
      <w:r w:rsidRPr="00513379">
        <w:rPr>
          <w:rFonts w:ascii="Book Antiqua" w:hAnsi="Book Antiqua"/>
          <w:sz w:val="26"/>
          <w:szCs w:val="26"/>
        </w:rPr>
        <w:t>графія.</w:t>
      </w:r>
      <w:r w:rsidR="00FD7B71" w:rsidRPr="00513379">
        <w:rPr>
          <w:rFonts w:ascii="Book Antiqua" w:hAnsi="Book Antiqua"/>
          <w:sz w:val="26"/>
          <w:szCs w:val="26"/>
        </w:rPr>
        <w:t xml:space="preserve"> </w:t>
      </w:r>
      <w:r w:rsidRPr="00513379">
        <w:rPr>
          <w:rFonts w:ascii="Book Antiqua" w:hAnsi="Book Antiqua"/>
          <w:sz w:val="26"/>
          <w:szCs w:val="26"/>
        </w:rPr>
        <w:t xml:space="preserve">С. 109-111. </w:t>
      </w:r>
    </w:p>
    <w:p w:rsidR="00CF0C64" w:rsidRPr="00513379" w:rsidRDefault="00CF0C64" w:rsidP="00513379">
      <w:pPr>
        <w:pStyle w:val="a4"/>
        <w:numPr>
          <w:ilvl w:val="0"/>
          <w:numId w:val="1"/>
        </w:numPr>
        <w:spacing w:after="0" w:line="240" w:lineRule="auto"/>
        <w:ind w:left="0" w:firstLine="567"/>
        <w:rPr>
          <w:rFonts w:ascii="Book Antiqua" w:hAnsi="Book Antiqua"/>
          <w:sz w:val="26"/>
          <w:szCs w:val="26"/>
        </w:rPr>
      </w:pPr>
      <w:proofErr w:type="spellStart"/>
      <w:r w:rsidRPr="00513379">
        <w:rPr>
          <w:rFonts w:ascii="Book Antiqua" w:hAnsi="Book Antiqua"/>
          <w:sz w:val="26"/>
          <w:szCs w:val="26"/>
        </w:rPr>
        <w:t>Бучко</w:t>
      </w:r>
      <w:proofErr w:type="spellEnd"/>
      <w:r w:rsidRPr="00513379">
        <w:rPr>
          <w:rFonts w:ascii="Book Antiqua" w:hAnsi="Book Antiqua"/>
          <w:sz w:val="26"/>
          <w:szCs w:val="26"/>
        </w:rPr>
        <w:t xml:space="preserve"> Ж.І. </w:t>
      </w:r>
      <w:r w:rsidR="00074DF1" w:rsidRPr="00513379">
        <w:rPr>
          <w:rFonts w:ascii="Book Antiqua" w:hAnsi="Book Antiqua"/>
          <w:sz w:val="26"/>
          <w:szCs w:val="26"/>
        </w:rPr>
        <w:t xml:space="preserve"> </w:t>
      </w:r>
      <w:r w:rsidRPr="00513379">
        <w:rPr>
          <w:rFonts w:ascii="Book Antiqua" w:hAnsi="Book Antiqua"/>
          <w:sz w:val="26"/>
          <w:szCs w:val="26"/>
        </w:rPr>
        <w:t xml:space="preserve">Транскордонні рекреаційно-туристичні комплекси України: методологія дослідження та пріоритети розвитку: </w:t>
      </w:r>
      <w:proofErr w:type="spellStart"/>
      <w:r w:rsidRPr="00513379">
        <w:rPr>
          <w:rFonts w:ascii="Book Antiqua" w:hAnsi="Book Antiqua"/>
          <w:sz w:val="26"/>
          <w:szCs w:val="26"/>
        </w:rPr>
        <w:t>автореф</w:t>
      </w:r>
      <w:proofErr w:type="spellEnd"/>
      <w:r w:rsidR="001A66A1" w:rsidRPr="00513379">
        <w:rPr>
          <w:rFonts w:ascii="Book Antiqua" w:hAnsi="Book Antiqua"/>
          <w:sz w:val="26"/>
          <w:szCs w:val="26"/>
        </w:rPr>
        <w:t xml:space="preserve">. </w:t>
      </w:r>
      <w:proofErr w:type="spellStart"/>
      <w:r w:rsidRPr="00513379">
        <w:rPr>
          <w:rFonts w:ascii="Book Antiqua" w:hAnsi="Book Antiqua"/>
          <w:sz w:val="26"/>
          <w:szCs w:val="26"/>
        </w:rPr>
        <w:t>дис</w:t>
      </w:r>
      <w:proofErr w:type="spellEnd"/>
      <w:r w:rsidR="001A66A1" w:rsidRPr="00513379">
        <w:rPr>
          <w:rFonts w:ascii="Book Antiqua" w:hAnsi="Book Antiqua"/>
          <w:sz w:val="26"/>
          <w:szCs w:val="26"/>
        </w:rPr>
        <w:t>. …</w:t>
      </w:r>
      <w:r w:rsidRPr="00513379">
        <w:rPr>
          <w:rFonts w:ascii="Book Antiqua" w:hAnsi="Book Antiqua"/>
          <w:sz w:val="26"/>
          <w:szCs w:val="26"/>
        </w:rPr>
        <w:t xml:space="preserve"> д</w:t>
      </w:r>
      <w:r w:rsidR="001A66A1" w:rsidRPr="00513379">
        <w:rPr>
          <w:rFonts w:ascii="Book Antiqua" w:hAnsi="Book Antiqua"/>
          <w:sz w:val="26"/>
          <w:szCs w:val="26"/>
        </w:rPr>
        <w:t>-</w:t>
      </w:r>
      <w:r w:rsidRPr="00513379">
        <w:rPr>
          <w:rFonts w:ascii="Book Antiqua" w:hAnsi="Book Antiqua"/>
          <w:sz w:val="26"/>
          <w:szCs w:val="26"/>
        </w:rPr>
        <w:t xml:space="preserve">ра </w:t>
      </w:r>
      <w:proofErr w:type="spellStart"/>
      <w:r w:rsidR="001A66A1" w:rsidRPr="00513379">
        <w:rPr>
          <w:rFonts w:ascii="Book Antiqua" w:hAnsi="Book Antiqua"/>
          <w:sz w:val="26"/>
          <w:szCs w:val="26"/>
        </w:rPr>
        <w:t>геогр</w:t>
      </w:r>
      <w:proofErr w:type="spellEnd"/>
      <w:r w:rsidR="001A66A1" w:rsidRPr="00513379">
        <w:rPr>
          <w:rFonts w:ascii="Book Antiqua" w:hAnsi="Book Antiqua"/>
          <w:sz w:val="26"/>
          <w:szCs w:val="26"/>
        </w:rPr>
        <w:t xml:space="preserve">. наук : 11.00.11. </w:t>
      </w:r>
      <w:r w:rsidRPr="00513379">
        <w:rPr>
          <w:rFonts w:ascii="Book Antiqua" w:hAnsi="Book Antiqua"/>
          <w:sz w:val="26"/>
          <w:szCs w:val="26"/>
        </w:rPr>
        <w:t xml:space="preserve">Київ, 2019. </w:t>
      </w:r>
      <w:r w:rsidR="00247ED7" w:rsidRPr="00513379">
        <w:rPr>
          <w:rFonts w:ascii="Book Antiqua" w:hAnsi="Book Antiqua"/>
          <w:sz w:val="26"/>
          <w:szCs w:val="26"/>
        </w:rPr>
        <w:t xml:space="preserve">40 с. </w:t>
      </w:r>
    </w:p>
    <w:p w:rsidR="00074DF1" w:rsidRPr="00513379" w:rsidRDefault="0020522C" w:rsidP="00513379">
      <w:pPr>
        <w:pStyle w:val="a4"/>
        <w:numPr>
          <w:ilvl w:val="0"/>
          <w:numId w:val="1"/>
        </w:numPr>
        <w:spacing w:after="0" w:line="240" w:lineRule="auto"/>
        <w:ind w:left="0" w:firstLine="567"/>
        <w:rPr>
          <w:rFonts w:ascii="Book Antiqua" w:hAnsi="Book Antiqua"/>
          <w:i/>
          <w:sz w:val="26"/>
          <w:szCs w:val="26"/>
        </w:rPr>
      </w:pPr>
      <w:r w:rsidRPr="00513379">
        <w:rPr>
          <w:rFonts w:ascii="Book Antiqua" w:hAnsi="Book Antiqua"/>
          <w:sz w:val="26"/>
          <w:szCs w:val="26"/>
        </w:rPr>
        <w:t>Географічні аспекти розвитку туризму (на прикладі України та Польщі): монографія</w:t>
      </w:r>
      <w:r w:rsidR="008523A2" w:rsidRPr="00513379">
        <w:rPr>
          <w:rFonts w:ascii="Book Antiqua" w:hAnsi="Book Antiqua"/>
          <w:sz w:val="26"/>
          <w:szCs w:val="26"/>
        </w:rPr>
        <w:t xml:space="preserve"> </w:t>
      </w:r>
      <w:r w:rsidR="008523A2" w:rsidRPr="00513379">
        <w:rPr>
          <w:rFonts w:ascii="Book Antiqua" w:hAnsi="Book Antiqua"/>
          <w:sz w:val="26"/>
          <w:szCs w:val="26"/>
          <w:lang w:val="en-US"/>
        </w:rPr>
        <w:t>/</w:t>
      </w:r>
      <w:r w:rsidR="008523A2" w:rsidRPr="00513379">
        <w:rPr>
          <w:rFonts w:ascii="Book Antiqua" w:hAnsi="Book Antiqua"/>
          <w:sz w:val="26"/>
          <w:szCs w:val="26"/>
        </w:rPr>
        <w:t xml:space="preserve"> </w:t>
      </w:r>
      <w:proofErr w:type="spellStart"/>
      <w:r w:rsidRPr="00513379">
        <w:rPr>
          <w:rFonts w:ascii="Book Antiqua" w:hAnsi="Book Antiqua"/>
          <w:sz w:val="26"/>
          <w:szCs w:val="26"/>
        </w:rPr>
        <w:t>Явкін</w:t>
      </w:r>
      <w:proofErr w:type="spellEnd"/>
      <w:r w:rsidR="008523A2" w:rsidRPr="00513379">
        <w:rPr>
          <w:rFonts w:ascii="Book Antiqua" w:hAnsi="Book Antiqua"/>
          <w:sz w:val="26"/>
          <w:szCs w:val="26"/>
        </w:rPr>
        <w:t xml:space="preserve"> </w:t>
      </w:r>
      <w:r w:rsidR="008523A2" w:rsidRPr="00513379">
        <w:rPr>
          <w:rFonts w:ascii="Book Antiqua" w:hAnsi="Book Antiqua"/>
          <w:sz w:val="26"/>
          <w:szCs w:val="26"/>
        </w:rPr>
        <w:t>В.</w:t>
      </w:r>
      <w:r w:rsidR="008523A2" w:rsidRPr="00513379">
        <w:rPr>
          <w:rFonts w:ascii="Book Antiqua" w:hAnsi="Book Antiqua"/>
          <w:sz w:val="26"/>
          <w:szCs w:val="26"/>
          <w:lang w:val="ru-RU"/>
        </w:rPr>
        <w:t xml:space="preserve"> </w:t>
      </w:r>
      <w:r w:rsidR="008523A2" w:rsidRPr="00513379">
        <w:rPr>
          <w:rFonts w:ascii="Book Antiqua" w:hAnsi="Book Antiqua"/>
          <w:sz w:val="26"/>
          <w:szCs w:val="26"/>
        </w:rPr>
        <w:t>Г.</w:t>
      </w:r>
      <w:r w:rsidR="008523A2" w:rsidRPr="00513379">
        <w:rPr>
          <w:rFonts w:ascii="Book Antiqua" w:hAnsi="Book Antiqua"/>
          <w:sz w:val="26"/>
          <w:szCs w:val="26"/>
        </w:rPr>
        <w:t xml:space="preserve"> та ін. </w:t>
      </w:r>
      <w:r w:rsidRPr="00513379">
        <w:rPr>
          <w:rFonts w:ascii="Book Antiqua" w:hAnsi="Book Antiqua"/>
          <w:sz w:val="26"/>
          <w:szCs w:val="26"/>
        </w:rPr>
        <w:t>Чернівці</w:t>
      </w:r>
      <w:r w:rsidR="008523A2" w:rsidRPr="00513379">
        <w:rPr>
          <w:rFonts w:ascii="Book Antiqua" w:hAnsi="Book Antiqua"/>
          <w:sz w:val="26"/>
          <w:szCs w:val="26"/>
        </w:rPr>
        <w:t xml:space="preserve"> </w:t>
      </w:r>
      <w:r w:rsidRPr="00513379">
        <w:rPr>
          <w:rFonts w:ascii="Book Antiqua" w:hAnsi="Book Antiqua"/>
          <w:sz w:val="26"/>
          <w:szCs w:val="26"/>
        </w:rPr>
        <w:t xml:space="preserve">: Чернівецький </w:t>
      </w:r>
      <w:proofErr w:type="spellStart"/>
      <w:r w:rsidRPr="00513379">
        <w:rPr>
          <w:rFonts w:ascii="Book Antiqua" w:hAnsi="Book Antiqua"/>
          <w:sz w:val="26"/>
          <w:szCs w:val="26"/>
        </w:rPr>
        <w:t>нац</w:t>
      </w:r>
      <w:proofErr w:type="spellEnd"/>
      <w:r w:rsidRPr="00513379">
        <w:rPr>
          <w:rFonts w:ascii="Book Antiqua" w:hAnsi="Book Antiqua"/>
          <w:sz w:val="26"/>
          <w:szCs w:val="26"/>
        </w:rPr>
        <w:t>. ун-т, 2010. 344 с.</w:t>
      </w:r>
    </w:p>
    <w:sectPr w:rsidR="00074DF1" w:rsidRPr="00513379" w:rsidSect="006161BF">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36E19"/>
    <w:multiLevelType w:val="hybridMultilevel"/>
    <w:tmpl w:val="24C27C60"/>
    <w:lvl w:ilvl="0" w:tplc="5908E8BA">
      <w:start w:val="9"/>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 w15:restartNumberingAfterBreak="0">
    <w:nsid w:val="489F3EE4"/>
    <w:multiLevelType w:val="hybridMultilevel"/>
    <w:tmpl w:val="B90A50D0"/>
    <w:lvl w:ilvl="0" w:tplc="0114B24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1BF"/>
    <w:rsid w:val="00074DF1"/>
    <w:rsid w:val="00174982"/>
    <w:rsid w:val="001A66A1"/>
    <w:rsid w:val="0020522C"/>
    <w:rsid w:val="00240B2A"/>
    <w:rsid w:val="00247ED7"/>
    <w:rsid w:val="00513379"/>
    <w:rsid w:val="005B70E9"/>
    <w:rsid w:val="005F1570"/>
    <w:rsid w:val="00601132"/>
    <w:rsid w:val="006161BF"/>
    <w:rsid w:val="006D66C3"/>
    <w:rsid w:val="006E0A41"/>
    <w:rsid w:val="008523A2"/>
    <w:rsid w:val="00A87F65"/>
    <w:rsid w:val="00C6638F"/>
    <w:rsid w:val="00CF0C64"/>
    <w:rsid w:val="00D63298"/>
    <w:rsid w:val="00DC7C40"/>
    <w:rsid w:val="00DF7438"/>
    <w:rsid w:val="00F203B3"/>
    <w:rsid w:val="00FA3E3C"/>
    <w:rsid w:val="00FD7B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0160"/>
  <w15:chartTrackingRefBased/>
  <w15:docId w15:val="{D3A71177-C47A-4230-B8CF-5C994ABE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F0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4977</Words>
  <Characters>2837</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20</cp:revision>
  <dcterms:created xsi:type="dcterms:W3CDTF">2020-10-31T17:59:00Z</dcterms:created>
  <dcterms:modified xsi:type="dcterms:W3CDTF">2020-10-31T22:26:00Z</dcterms:modified>
</cp:coreProperties>
</file>